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00FC" w14:textId="77777777" w:rsidR="002E1F43" w:rsidRDefault="002E1F43" w:rsidP="002E1F43">
      <w:pPr>
        <w:jc w:val="center"/>
      </w:pPr>
      <w:r>
        <w:rPr>
          <w:noProof/>
        </w:rPr>
        <w:drawing>
          <wp:inline distT="0" distB="0" distL="0" distR="0" wp14:anchorId="6DF26B0C" wp14:editId="080192C4">
            <wp:extent cx="2213002" cy="688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rotWithShape="1">
                    <a:blip r:embed="rId7" cstate="print">
                      <a:extLst>
                        <a:ext uri="{28A0092B-C50C-407E-A947-70E740481C1C}">
                          <a14:useLocalDpi xmlns:a14="http://schemas.microsoft.com/office/drawing/2010/main" val="0"/>
                        </a:ext>
                      </a:extLst>
                    </a:blip>
                    <a:srcRect t="11274" b="26535"/>
                    <a:stretch/>
                  </pic:blipFill>
                  <pic:spPr bwMode="auto">
                    <a:xfrm>
                      <a:off x="0" y="0"/>
                      <a:ext cx="2279668" cy="708872"/>
                    </a:xfrm>
                    <a:prstGeom prst="rect">
                      <a:avLst/>
                    </a:prstGeom>
                    <a:ln>
                      <a:noFill/>
                    </a:ln>
                    <a:extLst>
                      <a:ext uri="{53640926-AAD7-44D8-BBD7-CCE9431645EC}">
                        <a14:shadowObscured xmlns:a14="http://schemas.microsoft.com/office/drawing/2010/main"/>
                      </a:ext>
                    </a:extLst>
                  </pic:spPr>
                </pic:pic>
              </a:graphicData>
            </a:graphic>
          </wp:inline>
        </w:drawing>
      </w:r>
    </w:p>
    <w:p w14:paraId="5F3898E3" w14:textId="1833556D" w:rsidR="002E1F43" w:rsidRPr="00B638E4" w:rsidRDefault="002E1F43" w:rsidP="002E1F43">
      <w:pPr>
        <w:jc w:val="center"/>
        <w:rPr>
          <w:b/>
        </w:rPr>
      </w:pPr>
      <w:r>
        <w:rPr>
          <w:b/>
        </w:rPr>
        <w:t>Educational Programs</w:t>
      </w:r>
      <w:r w:rsidRPr="00B638E4">
        <w:rPr>
          <w:b/>
        </w:rPr>
        <w:t xml:space="preserve"> </w:t>
      </w:r>
      <w:r>
        <w:rPr>
          <w:b/>
        </w:rPr>
        <w:t>Institutional Effectiveness</w:t>
      </w:r>
      <w:r w:rsidRPr="00B638E4">
        <w:rPr>
          <w:b/>
        </w:rPr>
        <w:t xml:space="preserve"> Plan and Report</w:t>
      </w:r>
    </w:p>
    <w:tbl>
      <w:tblPr>
        <w:tblStyle w:val="TableGrid"/>
        <w:tblW w:w="14670" w:type="dxa"/>
        <w:tblInd w:w="-95" w:type="dxa"/>
        <w:tblLook w:val="04A0" w:firstRow="1" w:lastRow="0" w:firstColumn="1" w:lastColumn="0" w:noHBand="0" w:noVBand="1"/>
      </w:tblPr>
      <w:tblGrid>
        <w:gridCol w:w="3960"/>
        <w:gridCol w:w="10710"/>
      </w:tblGrid>
      <w:tr w:rsidR="002E1F43" w14:paraId="03F3DA5F" w14:textId="77777777" w:rsidTr="00CB341B">
        <w:trPr>
          <w:trHeight w:val="260"/>
        </w:trPr>
        <w:tc>
          <w:tcPr>
            <w:tcW w:w="3960" w:type="dxa"/>
            <w:shd w:val="clear" w:color="auto" w:fill="E7E6E6" w:themeFill="background2"/>
          </w:tcPr>
          <w:p w14:paraId="194E3866" w14:textId="42769633" w:rsidR="002E1F43" w:rsidRPr="00B41166" w:rsidRDefault="002E1F43" w:rsidP="009D5E78">
            <w:pPr>
              <w:rPr>
                <w:b/>
              </w:rPr>
            </w:pPr>
            <w:r>
              <w:rPr>
                <w:b/>
              </w:rPr>
              <w:t>Assessment Cycle (YYYY-YY)</w:t>
            </w:r>
          </w:p>
        </w:tc>
        <w:tc>
          <w:tcPr>
            <w:tcW w:w="10710" w:type="dxa"/>
          </w:tcPr>
          <w:p w14:paraId="68D6652A" w14:textId="7D50FE7B" w:rsidR="002E1F43" w:rsidRDefault="005E5C80" w:rsidP="009D5E78">
            <w:r>
              <w:t>2020-21 M</w:t>
            </w:r>
            <w:r w:rsidR="007A7067">
              <w:t>id-</w:t>
            </w:r>
            <w:r>
              <w:t>year</w:t>
            </w:r>
          </w:p>
        </w:tc>
      </w:tr>
      <w:tr w:rsidR="002E1F43" w14:paraId="47CCCDA5" w14:textId="77777777" w:rsidTr="00CB341B">
        <w:trPr>
          <w:trHeight w:val="251"/>
        </w:trPr>
        <w:tc>
          <w:tcPr>
            <w:tcW w:w="3960" w:type="dxa"/>
            <w:shd w:val="clear" w:color="auto" w:fill="E7E6E6" w:themeFill="background2"/>
          </w:tcPr>
          <w:p w14:paraId="3D0D2762" w14:textId="46907305" w:rsidR="002E1F43" w:rsidRPr="00B638E4" w:rsidRDefault="002E1F43" w:rsidP="009D5E78">
            <w:pPr>
              <w:rPr>
                <w:b/>
              </w:rPr>
            </w:pPr>
            <w:r>
              <w:rPr>
                <w:b/>
              </w:rPr>
              <w:t>Educational Program</w:t>
            </w:r>
          </w:p>
        </w:tc>
        <w:tc>
          <w:tcPr>
            <w:tcW w:w="10710" w:type="dxa"/>
          </w:tcPr>
          <w:p w14:paraId="3CACAF45" w14:textId="0D01B9BB" w:rsidR="002E1F43" w:rsidRDefault="00DF3154" w:rsidP="009D5E78">
            <w:r>
              <w:t>Bachelor of Science in Business Administration</w:t>
            </w:r>
          </w:p>
        </w:tc>
      </w:tr>
      <w:tr w:rsidR="002E1F43" w14:paraId="3B33097E" w14:textId="77777777" w:rsidTr="00CB341B">
        <w:trPr>
          <w:trHeight w:val="251"/>
        </w:trPr>
        <w:tc>
          <w:tcPr>
            <w:tcW w:w="3960" w:type="dxa"/>
            <w:shd w:val="clear" w:color="auto" w:fill="E7E6E6" w:themeFill="background2"/>
          </w:tcPr>
          <w:p w14:paraId="16FA1C25" w14:textId="404820B2" w:rsidR="002E1F43" w:rsidRPr="00B41166" w:rsidRDefault="002E1F43" w:rsidP="009D5E78">
            <w:pPr>
              <w:rPr>
                <w:b/>
              </w:rPr>
            </w:pPr>
            <w:r>
              <w:rPr>
                <w:b/>
              </w:rPr>
              <w:t>Program/Assessment Coordinator</w:t>
            </w:r>
          </w:p>
        </w:tc>
        <w:tc>
          <w:tcPr>
            <w:tcW w:w="10710" w:type="dxa"/>
          </w:tcPr>
          <w:p w14:paraId="14166BD2" w14:textId="10BB9F76" w:rsidR="002E1F43" w:rsidRDefault="00DF3154" w:rsidP="009D5E78">
            <w:r>
              <w:t xml:space="preserve">Jacob </w:t>
            </w:r>
            <w:r w:rsidR="005E5C80">
              <w:t xml:space="preserve">I. </w:t>
            </w:r>
            <w:proofErr w:type="spellStart"/>
            <w:r>
              <w:t>Fait</w:t>
            </w:r>
            <w:proofErr w:type="spellEnd"/>
            <w:r w:rsidR="005E5C80">
              <w:t>, PhD</w:t>
            </w:r>
          </w:p>
        </w:tc>
      </w:tr>
      <w:tr w:rsidR="002E1F43" w14:paraId="36103DFB" w14:textId="77777777" w:rsidTr="00CB341B">
        <w:trPr>
          <w:trHeight w:val="260"/>
        </w:trPr>
        <w:tc>
          <w:tcPr>
            <w:tcW w:w="3960" w:type="dxa"/>
            <w:shd w:val="clear" w:color="auto" w:fill="E7E6E6" w:themeFill="background2"/>
          </w:tcPr>
          <w:p w14:paraId="2FFFF513" w14:textId="77777777" w:rsidR="002E1F43" w:rsidRPr="00B638E4" w:rsidRDefault="002E1F43" w:rsidP="009D5E78">
            <w:pPr>
              <w:rPr>
                <w:b/>
              </w:rPr>
            </w:pPr>
            <w:r>
              <w:rPr>
                <w:b/>
              </w:rPr>
              <w:t>Date (DD/MM/YYYY)</w:t>
            </w:r>
          </w:p>
        </w:tc>
        <w:tc>
          <w:tcPr>
            <w:tcW w:w="10710" w:type="dxa"/>
          </w:tcPr>
          <w:p w14:paraId="0969ACA0" w14:textId="46B957BC" w:rsidR="002E1F43" w:rsidRDefault="00092544" w:rsidP="009D5E78">
            <w:r>
              <w:t>6.4</w:t>
            </w:r>
            <w:r w:rsidR="005E5C80">
              <w:t>.2021</w:t>
            </w:r>
          </w:p>
        </w:tc>
      </w:tr>
    </w:tbl>
    <w:p w14:paraId="2826A771" w14:textId="77777777" w:rsidR="002E1F43" w:rsidRDefault="002E1F43" w:rsidP="002E1F43">
      <w:pPr>
        <w:spacing w:after="0"/>
      </w:pPr>
    </w:p>
    <w:tbl>
      <w:tblPr>
        <w:tblStyle w:val="TableGrid"/>
        <w:tblW w:w="14670" w:type="dxa"/>
        <w:tblInd w:w="-95" w:type="dxa"/>
        <w:tblLook w:val="04A0" w:firstRow="1" w:lastRow="0" w:firstColumn="1" w:lastColumn="0" w:noHBand="0" w:noVBand="1"/>
      </w:tblPr>
      <w:tblGrid>
        <w:gridCol w:w="14670"/>
      </w:tblGrid>
      <w:tr w:rsidR="00003A49" w14:paraId="6A62E62F" w14:textId="77777777" w:rsidTr="00CB341B">
        <w:tc>
          <w:tcPr>
            <w:tcW w:w="14670" w:type="dxa"/>
          </w:tcPr>
          <w:p w14:paraId="61578B11" w14:textId="0531AA44" w:rsidR="00003A49" w:rsidRPr="001305E8" w:rsidRDefault="00003A49" w:rsidP="000174BA">
            <w:pPr>
              <w:rPr>
                <w:b/>
              </w:rPr>
            </w:pPr>
            <w:r w:rsidRPr="001305E8">
              <w:rPr>
                <w:b/>
              </w:rPr>
              <w:t>Program Mission Statement:</w:t>
            </w:r>
            <w:r w:rsidR="00DF3154" w:rsidRPr="00A07D4C">
              <w:t xml:space="preserve"> </w:t>
            </w:r>
            <w:r w:rsidR="00092544">
              <w:t>Developing ethically, globally, and civically engaged business leaders.</w:t>
            </w:r>
          </w:p>
          <w:p w14:paraId="1828A587" w14:textId="508D8C98" w:rsidR="00003A49" w:rsidRPr="001305E8" w:rsidRDefault="00003A49" w:rsidP="000174BA">
            <w:pPr>
              <w:rPr>
                <w:b/>
              </w:rPr>
            </w:pPr>
          </w:p>
        </w:tc>
      </w:tr>
    </w:tbl>
    <w:p w14:paraId="2A44702C" w14:textId="77777777" w:rsidR="00003A49" w:rsidRPr="001305E8" w:rsidRDefault="00003A49" w:rsidP="000174BA">
      <w:pPr>
        <w:spacing w:after="0"/>
      </w:pPr>
    </w:p>
    <w:tbl>
      <w:tblPr>
        <w:tblStyle w:val="TableGrid"/>
        <w:tblW w:w="14670" w:type="dxa"/>
        <w:tblInd w:w="-95" w:type="dxa"/>
        <w:tblLook w:val="04A0" w:firstRow="1" w:lastRow="0" w:firstColumn="1" w:lastColumn="0" w:noHBand="0" w:noVBand="1"/>
      </w:tblPr>
      <w:tblGrid>
        <w:gridCol w:w="14670"/>
      </w:tblGrid>
      <w:tr w:rsidR="005C2BC8" w14:paraId="6EEFC141" w14:textId="77777777" w:rsidTr="00CB341B">
        <w:tc>
          <w:tcPr>
            <w:tcW w:w="14670" w:type="dxa"/>
          </w:tcPr>
          <w:p w14:paraId="38BDA826" w14:textId="5D27CD04" w:rsidR="005C2BC8" w:rsidRPr="005C2BC8" w:rsidRDefault="00985B49" w:rsidP="000174BA">
            <w:pPr>
              <w:rPr>
                <w:b/>
              </w:rPr>
            </w:pPr>
            <w:r>
              <w:rPr>
                <w:b/>
              </w:rPr>
              <w:t xml:space="preserve">Student </w:t>
            </w:r>
            <w:r w:rsidR="005C2BC8" w:rsidRPr="005C2BC8">
              <w:rPr>
                <w:b/>
              </w:rPr>
              <w:t>Learning Outcomes</w:t>
            </w:r>
          </w:p>
          <w:p w14:paraId="372784F1" w14:textId="4EBE07F5" w:rsidR="00DF3154" w:rsidRDefault="00DF3154" w:rsidP="00D24D37">
            <w:pPr>
              <w:pStyle w:val="ListParagraph"/>
              <w:numPr>
                <w:ilvl w:val="0"/>
                <w:numId w:val="12"/>
              </w:numPr>
            </w:pPr>
            <w:r w:rsidRPr="001305E8">
              <w:t xml:space="preserve">Students will </w:t>
            </w:r>
            <w:r>
              <w:t>apply</w:t>
            </w:r>
            <w:r w:rsidRPr="00B44C7E">
              <w:t xml:space="preserve"> the foundational common professional components (CPC)</w:t>
            </w:r>
            <w:r>
              <w:rPr>
                <w:rStyle w:val="FootnoteReference"/>
              </w:rPr>
              <w:footnoteReference w:id="1"/>
            </w:r>
            <w:r w:rsidRPr="00B44C7E">
              <w:t xml:space="preserve"> </w:t>
            </w:r>
            <w:r>
              <w:t>to solve business problems.</w:t>
            </w:r>
            <w:r w:rsidR="00D24D37">
              <w:t>(449, 403)</w:t>
            </w:r>
          </w:p>
          <w:p w14:paraId="3ECF6A26" w14:textId="76C9E143" w:rsidR="00D24D37" w:rsidRDefault="00D24D37" w:rsidP="00D24D37">
            <w:pPr>
              <w:pStyle w:val="ListParagraph"/>
              <w:numPr>
                <w:ilvl w:val="0"/>
                <w:numId w:val="12"/>
              </w:numPr>
            </w:pPr>
            <w:r w:rsidRPr="001305E8">
              <w:t>Students will</w:t>
            </w:r>
            <w:r>
              <w:t xml:space="preserve"> identify and demonstrate</w:t>
            </w:r>
            <w:r w:rsidRPr="00D24D37">
              <w:rPr>
                <w:color w:val="FF0000"/>
              </w:rPr>
              <w:t xml:space="preserve"> </w:t>
            </w:r>
            <w:r w:rsidRPr="00B44C7E">
              <w:t xml:space="preserve">knowledge and skills that indicate appropriate professional demeanor and career </w:t>
            </w:r>
            <w:proofErr w:type="gramStart"/>
            <w:r w:rsidRPr="00B44C7E">
              <w:t>readiness</w:t>
            </w:r>
            <w:r>
              <w:t>.(</w:t>
            </w:r>
            <w:proofErr w:type="gramEnd"/>
            <w:r>
              <w:t>325, 325)</w:t>
            </w:r>
          </w:p>
          <w:p w14:paraId="0C145D9F" w14:textId="0515C5A2" w:rsidR="00091B31" w:rsidRDefault="00091B31" w:rsidP="00D24D37">
            <w:pPr>
              <w:pStyle w:val="ListParagraph"/>
              <w:numPr>
                <w:ilvl w:val="0"/>
                <w:numId w:val="12"/>
              </w:numPr>
            </w:pPr>
            <w:r>
              <w:t xml:space="preserve">Students will exhibit commitment to civic engagement by applying business knowledge to a service </w:t>
            </w:r>
            <w:proofErr w:type="gramStart"/>
            <w:r>
              <w:t>project.</w:t>
            </w:r>
            <w:r w:rsidR="00D24D37">
              <w:t>(</w:t>
            </w:r>
            <w:proofErr w:type="gramEnd"/>
            <w:r w:rsidR="00D24D37">
              <w:t>352, VITA)</w:t>
            </w:r>
          </w:p>
          <w:p w14:paraId="2E26971D" w14:textId="1713BD0B" w:rsidR="00091B31" w:rsidRDefault="00091B31" w:rsidP="00D24D37">
            <w:pPr>
              <w:pStyle w:val="ListParagraph"/>
              <w:numPr>
                <w:ilvl w:val="0"/>
                <w:numId w:val="12"/>
              </w:numPr>
            </w:pPr>
            <w:r>
              <w:t xml:space="preserve">Students will demonstrate the ability to productively participate in group interactions and work effectively with </w:t>
            </w:r>
            <w:proofErr w:type="gramStart"/>
            <w:r>
              <w:t>others.</w:t>
            </w:r>
            <w:r w:rsidR="00D24D37">
              <w:t>(</w:t>
            </w:r>
            <w:proofErr w:type="gramEnd"/>
            <w:r w:rsidR="00D24D37">
              <w:t>449, 305)</w:t>
            </w:r>
          </w:p>
          <w:p w14:paraId="2DB76022" w14:textId="2484851C" w:rsidR="005C2BC8" w:rsidRPr="005C2BC8" w:rsidRDefault="005C2BC8" w:rsidP="00091B31">
            <w:pPr>
              <w:ind w:left="720"/>
            </w:pPr>
          </w:p>
        </w:tc>
      </w:tr>
    </w:tbl>
    <w:p w14:paraId="4DAC7438" w14:textId="77777777" w:rsidR="005C2BC8" w:rsidRPr="001305E8" w:rsidRDefault="005C2BC8" w:rsidP="001305E8">
      <w:pPr>
        <w:spacing w:after="0" w:line="240" w:lineRule="auto"/>
      </w:pPr>
    </w:p>
    <w:p w14:paraId="4446F138" w14:textId="4D7D95A5" w:rsidR="005C2BC8" w:rsidRPr="00003A49" w:rsidRDefault="00003A49" w:rsidP="001305E8">
      <w:pPr>
        <w:spacing w:after="0" w:line="240" w:lineRule="auto"/>
        <w:rPr>
          <w:b/>
        </w:rPr>
      </w:pPr>
      <w:bookmarkStart w:id="0" w:name="_Hlk8484050"/>
      <w:r>
        <w:rPr>
          <w:b/>
        </w:rPr>
        <w:t>Student Learning Outcomes for Educational Programs</w:t>
      </w:r>
    </w:p>
    <w:tbl>
      <w:tblPr>
        <w:tblStyle w:val="TableGrid"/>
        <w:tblW w:w="15120" w:type="dxa"/>
        <w:tblInd w:w="-545" w:type="dxa"/>
        <w:tblLayout w:type="fixed"/>
        <w:tblLook w:val="04A0" w:firstRow="1" w:lastRow="0" w:firstColumn="1" w:lastColumn="0" w:noHBand="0" w:noVBand="1"/>
      </w:tblPr>
      <w:tblGrid>
        <w:gridCol w:w="1378"/>
        <w:gridCol w:w="2489"/>
        <w:gridCol w:w="2474"/>
        <w:gridCol w:w="6156"/>
        <w:gridCol w:w="2623"/>
      </w:tblGrid>
      <w:tr w:rsidR="0034086A" w:rsidRPr="001305E8" w14:paraId="350439FC" w14:textId="77777777" w:rsidTr="00C931AE">
        <w:trPr>
          <w:tblHeader/>
        </w:trPr>
        <w:tc>
          <w:tcPr>
            <w:tcW w:w="1378" w:type="dxa"/>
            <w:shd w:val="clear" w:color="auto" w:fill="E7E6E6" w:themeFill="background2"/>
            <w:vAlign w:val="bottom"/>
          </w:tcPr>
          <w:bookmarkEnd w:id="0"/>
          <w:p w14:paraId="52E4D0FE" w14:textId="63D9E6BF" w:rsidR="002E1F43" w:rsidRPr="002E1F43" w:rsidRDefault="002E1F43" w:rsidP="00CB341B">
            <w:pPr>
              <w:jc w:val="center"/>
              <w:rPr>
                <w:b/>
                <w:sz w:val="28"/>
                <w:szCs w:val="28"/>
              </w:rPr>
            </w:pPr>
            <w:r w:rsidRPr="002E1F43">
              <w:rPr>
                <w:b/>
                <w:sz w:val="28"/>
                <w:szCs w:val="28"/>
              </w:rPr>
              <w:t>I.</w:t>
            </w:r>
          </w:p>
          <w:p w14:paraId="076CDA85" w14:textId="79D09B5A" w:rsidR="005C2BC8" w:rsidRPr="001305E8" w:rsidRDefault="005C2BC8" w:rsidP="00CB341B">
            <w:pPr>
              <w:rPr>
                <w:b/>
                <w:sz w:val="20"/>
                <w:szCs w:val="20"/>
              </w:rPr>
            </w:pPr>
            <w:r w:rsidRPr="001305E8">
              <w:rPr>
                <w:b/>
                <w:sz w:val="20"/>
                <w:szCs w:val="20"/>
              </w:rPr>
              <w:t>Student Learning Outcome</w:t>
            </w:r>
          </w:p>
        </w:tc>
        <w:tc>
          <w:tcPr>
            <w:tcW w:w="2489" w:type="dxa"/>
            <w:shd w:val="clear" w:color="auto" w:fill="E7E6E6" w:themeFill="background2"/>
            <w:vAlign w:val="bottom"/>
          </w:tcPr>
          <w:p w14:paraId="4D225F81" w14:textId="0688DA3C" w:rsidR="002E1F43" w:rsidRPr="002E1F43" w:rsidRDefault="002E1F43" w:rsidP="00CB341B">
            <w:pPr>
              <w:jc w:val="center"/>
              <w:rPr>
                <w:b/>
                <w:sz w:val="28"/>
                <w:szCs w:val="28"/>
              </w:rPr>
            </w:pPr>
            <w:r w:rsidRPr="002E1F43">
              <w:rPr>
                <w:b/>
                <w:sz w:val="28"/>
                <w:szCs w:val="28"/>
              </w:rPr>
              <w:t>II.</w:t>
            </w:r>
          </w:p>
          <w:p w14:paraId="7607CBFF" w14:textId="3FBCE823" w:rsidR="005C2BC8" w:rsidRPr="001305E8" w:rsidRDefault="005C2BC8" w:rsidP="00CB341B">
            <w:pPr>
              <w:rPr>
                <w:b/>
                <w:sz w:val="20"/>
                <w:szCs w:val="20"/>
              </w:rPr>
            </w:pPr>
            <w:r w:rsidRPr="001305E8">
              <w:rPr>
                <w:b/>
                <w:sz w:val="20"/>
                <w:szCs w:val="20"/>
              </w:rPr>
              <w:t>Methods of Assessment (Short description of each assessment used to assess each outcome)</w:t>
            </w:r>
          </w:p>
        </w:tc>
        <w:tc>
          <w:tcPr>
            <w:tcW w:w="2474" w:type="dxa"/>
            <w:shd w:val="clear" w:color="auto" w:fill="E7E6E6" w:themeFill="background2"/>
            <w:vAlign w:val="bottom"/>
          </w:tcPr>
          <w:p w14:paraId="65388C27" w14:textId="77777777" w:rsidR="002E1F43" w:rsidRPr="002E1F43" w:rsidRDefault="002E1F43" w:rsidP="00CB341B">
            <w:pPr>
              <w:jc w:val="center"/>
              <w:rPr>
                <w:b/>
                <w:sz w:val="28"/>
                <w:szCs w:val="28"/>
              </w:rPr>
            </w:pPr>
            <w:r w:rsidRPr="002E1F43">
              <w:rPr>
                <w:b/>
                <w:sz w:val="28"/>
                <w:szCs w:val="28"/>
              </w:rPr>
              <w:t>III.</w:t>
            </w:r>
          </w:p>
          <w:p w14:paraId="2429F1DF" w14:textId="09E65ADD" w:rsidR="00B04EB6" w:rsidRPr="001305E8" w:rsidRDefault="005C2BC8" w:rsidP="00CB341B">
            <w:pPr>
              <w:rPr>
                <w:b/>
                <w:sz w:val="20"/>
                <w:szCs w:val="20"/>
              </w:rPr>
            </w:pPr>
            <w:r w:rsidRPr="001305E8">
              <w:rPr>
                <w:b/>
                <w:sz w:val="20"/>
                <w:szCs w:val="20"/>
              </w:rPr>
              <w:t>Action Steps</w:t>
            </w:r>
            <w:r w:rsidR="001D145A" w:rsidRPr="001305E8">
              <w:rPr>
                <w:b/>
                <w:sz w:val="20"/>
                <w:szCs w:val="20"/>
              </w:rPr>
              <w:t xml:space="preserve"> </w:t>
            </w:r>
            <w:r w:rsidR="000770EF" w:rsidRPr="001305E8">
              <w:rPr>
                <w:b/>
                <w:sz w:val="20"/>
                <w:szCs w:val="20"/>
              </w:rPr>
              <w:t>to be t</w:t>
            </w:r>
            <w:r w:rsidR="001D145A" w:rsidRPr="001305E8">
              <w:rPr>
                <w:b/>
                <w:sz w:val="20"/>
                <w:szCs w:val="20"/>
              </w:rPr>
              <w:t xml:space="preserve">aken this </w:t>
            </w:r>
            <w:r w:rsidR="001305E8" w:rsidRPr="001305E8">
              <w:rPr>
                <w:b/>
                <w:sz w:val="20"/>
                <w:szCs w:val="20"/>
              </w:rPr>
              <w:t>cycle</w:t>
            </w:r>
            <w:r w:rsidR="000770EF" w:rsidRPr="001305E8">
              <w:rPr>
                <w:b/>
                <w:sz w:val="20"/>
                <w:szCs w:val="20"/>
              </w:rPr>
              <w:t xml:space="preserve"> t</w:t>
            </w:r>
            <w:r w:rsidR="0034086A" w:rsidRPr="001305E8">
              <w:rPr>
                <w:b/>
                <w:sz w:val="20"/>
                <w:szCs w:val="20"/>
              </w:rPr>
              <w:t>o Achieve the Outcome</w:t>
            </w:r>
            <w:r w:rsidR="000770EF" w:rsidRPr="001305E8">
              <w:rPr>
                <w:b/>
                <w:sz w:val="20"/>
                <w:szCs w:val="20"/>
              </w:rPr>
              <w:t xml:space="preserve"> (should be drawn from the previous </w:t>
            </w:r>
            <w:r w:rsidR="001305E8" w:rsidRPr="001305E8">
              <w:rPr>
                <w:b/>
                <w:sz w:val="20"/>
                <w:szCs w:val="20"/>
              </w:rPr>
              <w:t>cycle</w:t>
            </w:r>
            <w:r w:rsidR="000770EF" w:rsidRPr="001305E8">
              <w:rPr>
                <w:b/>
                <w:sz w:val="20"/>
                <w:szCs w:val="20"/>
              </w:rPr>
              <w:t>’s use of results)</w:t>
            </w:r>
          </w:p>
        </w:tc>
        <w:tc>
          <w:tcPr>
            <w:tcW w:w="6156" w:type="dxa"/>
            <w:shd w:val="clear" w:color="auto" w:fill="E7E6E6" w:themeFill="background2"/>
            <w:vAlign w:val="bottom"/>
          </w:tcPr>
          <w:p w14:paraId="25F83C28" w14:textId="77777777" w:rsidR="002E1F43" w:rsidRPr="002E1F43" w:rsidRDefault="002E1F43" w:rsidP="00CB341B">
            <w:pPr>
              <w:jc w:val="center"/>
              <w:rPr>
                <w:b/>
                <w:sz w:val="28"/>
                <w:szCs w:val="28"/>
              </w:rPr>
            </w:pPr>
            <w:r w:rsidRPr="002E1F43">
              <w:rPr>
                <w:b/>
                <w:sz w:val="28"/>
                <w:szCs w:val="28"/>
              </w:rPr>
              <w:t>IV.</w:t>
            </w:r>
          </w:p>
          <w:p w14:paraId="7830B1C7" w14:textId="46652519" w:rsidR="005C2BC8" w:rsidRPr="001305E8" w:rsidRDefault="00B04EB6" w:rsidP="00CB341B">
            <w:pPr>
              <w:rPr>
                <w:b/>
                <w:color w:val="FF0000"/>
                <w:sz w:val="20"/>
                <w:szCs w:val="20"/>
              </w:rPr>
            </w:pPr>
            <w:r w:rsidRPr="001305E8">
              <w:rPr>
                <w:b/>
                <w:sz w:val="20"/>
                <w:szCs w:val="20"/>
              </w:rPr>
              <w:t>Assessment Results and Analysis of Results (include data and discuss the results).  If the program is delivered through distance learning, all results and analysis must be provided for conventional delivery and distance learning delivery.</w:t>
            </w:r>
          </w:p>
        </w:tc>
        <w:tc>
          <w:tcPr>
            <w:tcW w:w="2623" w:type="dxa"/>
            <w:shd w:val="clear" w:color="auto" w:fill="E7E6E6" w:themeFill="background2"/>
            <w:vAlign w:val="bottom"/>
          </w:tcPr>
          <w:p w14:paraId="6B40D0D2" w14:textId="77777777" w:rsidR="002E1F43" w:rsidRPr="002E1F43" w:rsidRDefault="002E1F43" w:rsidP="00CB341B">
            <w:pPr>
              <w:jc w:val="center"/>
              <w:rPr>
                <w:b/>
                <w:sz w:val="28"/>
                <w:szCs w:val="28"/>
              </w:rPr>
            </w:pPr>
            <w:r w:rsidRPr="002E1F43">
              <w:rPr>
                <w:b/>
                <w:sz w:val="28"/>
                <w:szCs w:val="28"/>
              </w:rPr>
              <w:t>V.</w:t>
            </w:r>
          </w:p>
          <w:p w14:paraId="7F212137" w14:textId="4E39BD60" w:rsidR="005C2BC8" w:rsidRPr="001305E8" w:rsidRDefault="0034086A" w:rsidP="00CB341B">
            <w:pPr>
              <w:rPr>
                <w:b/>
                <w:sz w:val="20"/>
                <w:szCs w:val="20"/>
              </w:rPr>
            </w:pPr>
            <w:r w:rsidRPr="001305E8">
              <w:rPr>
                <w:b/>
                <w:sz w:val="20"/>
                <w:szCs w:val="20"/>
              </w:rPr>
              <w:t xml:space="preserve">Use of Results:  Changes to be implemented next cycle.  </w:t>
            </w:r>
          </w:p>
        </w:tc>
      </w:tr>
      <w:tr w:rsidR="00DF3154" w14:paraId="77103820" w14:textId="77777777" w:rsidTr="005E5C80">
        <w:trPr>
          <w:trHeight w:val="720"/>
        </w:trPr>
        <w:tc>
          <w:tcPr>
            <w:tcW w:w="1378" w:type="dxa"/>
          </w:tcPr>
          <w:p w14:paraId="610770DD" w14:textId="7DAA5D67" w:rsidR="00DF3154" w:rsidRPr="001305E8" w:rsidRDefault="00DF3154" w:rsidP="00DF3154">
            <w:r w:rsidRPr="00DF3154">
              <w:rPr>
                <w:b/>
              </w:rPr>
              <w:t>Outcome 1:</w:t>
            </w:r>
            <w:r w:rsidRPr="001305E8">
              <w:t xml:space="preserve"> </w:t>
            </w:r>
            <w:r w:rsidRPr="000A5639">
              <w:t xml:space="preserve">Students will apply the foundational common professional components </w:t>
            </w:r>
            <w:r w:rsidRPr="000A5639">
              <w:lastRenderedPageBreak/>
              <w:t xml:space="preserve">(CPC) to solve business </w:t>
            </w:r>
            <w:proofErr w:type="gramStart"/>
            <w:r w:rsidRPr="000A5639">
              <w:t>problems.</w:t>
            </w:r>
            <w:r w:rsidR="00D213F8">
              <w:t>(</w:t>
            </w:r>
            <w:proofErr w:type="gramEnd"/>
            <w:r w:rsidR="00D213F8">
              <w:t>449, 403)</w:t>
            </w:r>
          </w:p>
          <w:p w14:paraId="4A61C146" w14:textId="229C4B74" w:rsidR="00DF3154" w:rsidRDefault="00DF3154" w:rsidP="00DF3154"/>
        </w:tc>
        <w:tc>
          <w:tcPr>
            <w:tcW w:w="2489" w:type="dxa"/>
            <w:shd w:val="clear" w:color="auto" w:fill="4472C4" w:themeFill="accent1"/>
          </w:tcPr>
          <w:p w14:paraId="23408428" w14:textId="77777777" w:rsidR="00DF3154" w:rsidRDefault="00DF3154" w:rsidP="00DF3154"/>
        </w:tc>
        <w:tc>
          <w:tcPr>
            <w:tcW w:w="2474" w:type="dxa"/>
            <w:shd w:val="clear" w:color="auto" w:fill="4472C4" w:themeFill="accent1"/>
          </w:tcPr>
          <w:p w14:paraId="7D1AB151" w14:textId="77777777" w:rsidR="00DF3154" w:rsidRDefault="00DF3154" w:rsidP="00DF3154"/>
        </w:tc>
        <w:tc>
          <w:tcPr>
            <w:tcW w:w="6156" w:type="dxa"/>
            <w:shd w:val="clear" w:color="auto" w:fill="4472C4" w:themeFill="accent1"/>
          </w:tcPr>
          <w:p w14:paraId="041178E0" w14:textId="77777777" w:rsidR="00DF3154" w:rsidRDefault="00DF3154" w:rsidP="00DF3154"/>
        </w:tc>
        <w:tc>
          <w:tcPr>
            <w:tcW w:w="2623" w:type="dxa"/>
            <w:shd w:val="clear" w:color="auto" w:fill="4472C4" w:themeFill="accent1"/>
          </w:tcPr>
          <w:p w14:paraId="2D56D403" w14:textId="77777777" w:rsidR="00DF3154" w:rsidRDefault="00DF3154" w:rsidP="00DF3154"/>
        </w:tc>
      </w:tr>
      <w:tr w:rsidR="00DF3154" w14:paraId="249EBF3C" w14:textId="77777777" w:rsidTr="00C931AE">
        <w:trPr>
          <w:trHeight w:val="720"/>
        </w:trPr>
        <w:tc>
          <w:tcPr>
            <w:tcW w:w="1378" w:type="dxa"/>
          </w:tcPr>
          <w:p w14:paraId="444616F1" w14:textId="42CE37D1" w:rsidR="00DF3154" w:rsidRDefault="00DF3154" w:rsidP="00DF3154"/>
        </w:tc>
        <w:tc>
          <w:tcPr>
            <w:tcW w:w="2489" w:type="dxa"/>
          </w:tcPr>
          <w:p w14:paraId="2A4DBA49" w14:textId="192F8791" w:rsidR="00DF3154" w:rsidRDefault="00DF3154" w:rsidP="00DF3154">
            <w:pPr>
              <w:pStyle w:val="ListParagraph"/>
              <w:ind w:left="0"/>
            </w:pPr>
            <w:r w:rsidRPr="00DF3154">
              <w:rPr>
                <w:b/>
              </w:rPr>
              <w:t>Objective 1:</w:t>
            </w:r>
            <w:r>
              <w:t xml:space="preserve"> Students will complete the Peregrine Academics Undergraduate CPC </w:t>
            </w:r>
            <w:proofErr w:type="gramStart"/>
            <w:r>
              <w:t>exam.</w:t>
            </w:r>
            <w:r w:rsidR="00D213F8">
              <w:t>(</w:t>
            </w:r>
            <w:proofErr w:type="gramEnd"/>
            <w:r w:rsidR="00D213F8">
              <w:t>449)</w:t>
            </w:r>
          </w:p>
          <w:p w14:paraId="4C58C056" w14:textId="77777777" w:rsidR="00DF3154" w:rsidRDefault="00DF3154" w:rsidP="00DF3154">
            <w:pPr>
              <w:pStyle w:val="ListParagraph"/>
              <w:ind w:left="0"/>
            </w:pPr>
          </w:p>
          <w:p w14:paraId="77096F47" w14:textId="36F767E0" w:rsidR="00DF3154" w:rsidRDefault="00DF3154" w:rsidP="00DF3154">
            <w:pPr>
              <w:pStyle w:val="ListParagraph"/>
              <w:ind w:left="0"/>
            </w:pPr>
            <w:r>
              <w:t xml:space="preserve">Students complete the Peregrine Academics Undergraduate CPC exam in the BUSN 440 Policy and Strategy Course. </w:t>
            </w:r>
          </w:p>
          <w:p w14:paraId="3FFEDF8B" w14:textId="77777777" w:rsidR="00DF3154" w:rsidRDefault="00DF3154" w:rsidP="00DF3154">
            <w:pPr>
              <w:pStyle w:val="ListParagraph"/>
              <w:ind w:left="0"/>
            </w:pPr>
          </w:p>
          <w:p w14:paraId="2FD2AEF0" w14:textId="3B2C6DD1" w:rsidR="00DF3154" w:rsidRDefault="00DF3154" w:rsidP="00DF3154">
            <w:pPr>
              <w:pStyle w:val="ListParagraph"/>
              <w:ind w:left="0"/>
            </w:pPr>
            <w:r>
              <w:t>We benchmark against ACBSP Region 3 schools and expect our students to score within 5% of our benchmark on each category.</w:t>
            </w:r>
            <w:r w:rsidR="006863AD">
              <w:t xml:space="preserve">  Additionally, we set an overall goal of meeting the Region 3 average score.</w:t>
            </w:r>
          </w:p>
          <w:p w14:paraId="408E060E" w14:textId="77777777" w:rsidR="00DF3154" w:rsidRDefault="00DF3154" w:rsidP="00DF3154">
            <w:pPr>
              <w:pStyle w:val="ListParagraph"/>
              <w:ind w:left="0"/>
            </w:pPr>
          </w:p>
          <w:p w14:paraId="4FEAE401" w14:textId="77777777" w:rsidR="00DF3154" w:rsidRDefault="00DF3154" w:rsidP="00092544">
            <w:pPr>
              <w:ind w:left="-18"/>
            </w:pPr>
          </w:p>
        </w:tc>
        <w:tc>
          <w:tcPr>
            <w:tcW w:w="2474" w:type="dxa"/>
          </w:tcPr>
          <w:p w14:paraId="0255C41B" w14:textId="2D90FE63" w:rsidR="00DF3154" w:rsidRPr="005828DA" w:rsidRDefault="00AC0C19" w:rsidP="00DF3154">
            <w:pPr>
              <w:rPr>
                <w:rFonts w:cstheme="minorHAnsi"/>
              </w:rPr>
            </w:pPr>
            <w:r w:rsidRPr="005828DA">
              <w:rPr>
                <w:rFonts w:cstheme="minorHAnsi"/>
              </w:rPr>
              <w:t>The recommendation to hire a terminally degreed full-time finance faculty member has paid o</w:t>
            </w:r>
            <w:r w:rsidR="00092544">
              <w:rPr>
                <w:rFonts w:cstheme="minorHAnsi"/>
              </w:rPr>
              <w:t xml:space="preserve">ff and it evidenced by the vast </w:t>
            </w:r>
            <w:r w:rsidRPr="005828DA">
              <w:rPr>
                <w:rFonts w:cstheme="minorHAnsi"/>
              </w:rPr>
              <w:t>improvement in finance scores.  Action steps is to continue to review peregrine finance results with the finance faculty member to ensure continued improvement.</w:t>
            </w:r>
          </w:p>
          <w:p w14:paraId="42E30EC3" w14:textId="0FA20B5E" w:rsidR="005828DA" w:rsidRPr="005828DA" w:rsidRDefault="005828DA" w:rsidP="00DF3154">
            <w:pPr>
              <w:rPr>
                <w:rFonts w:cstheme="minorHAnsi"/>
              </w:rPr>
            </w:pPr>
          </w:p>
          <w:p w14:paraId="61A93A26" w14:textId="634CB725" w:rsidR="005828DA" w:rsidRPr="005828DA" w:rsidRDefault="005828DA" w:rsidP="005828DA">
            <w:pPr>
              <w:rPr>
                <w:rFonts w:cstheme="minorHAnsi"/>
                <w:color w:val="000000"/>
              </w:rPr>
            </w:pPr>
            <w:r w:rsidRPr="005828DA">
              <w:rPr>
                <w:rFonts w:cstheme="minorHAnsi"/>
                <w:color w:val="000000"/>
              </w:rPr>
              <w:t>Formed task force to investigate undergraduate curriculum and outcomes to ensure there is a match between c</w:t>
            </w:r>
            <w:r>
              <w:rPr>
                <w:rFonts w:cstheme="minorHAnsi"/>
                <w:color w:val="000000"/>
              </w:rPr>
              <w:t>urriculum and desired outcomes.  The task force shared their findings with the faculty and multiple curricular adjustments were made to ensure alignment.</w:t>
            </w:r>
          </w:p>
          <w:p w14:paraId="569ACDF1" w14:textId="77777777" w:rsidR="005828DA" w:rsidRPr="005828DA" w:rsidRDefault="005828DA" w:rsidP="00DF3154">
            <w:pPr>
              <w:rPr>
                <w:rFonts w:cstheme="minorHAnsi"/>
              </w:rPr>
            </w:pPr>
          </w:p>
          <w:p w14:paraId="0139ED02" w14:textId="77777777" w:rsidR="00DF3154" w:rsidRPr="005828DA" w:rsidRDefault="00DF3154" w:rsidP="00DF3154">
            <w:pPr>
              <w:rPr>
                <w:rFonts w:cstheme="minorHAnsi"/>
              </w:rPr>
            </w:pPr>
          </w:p>
        </w:tc>
        <w:tc>
          <w:tcPr>
            <w:tcW w:w="6156" w:type="dxa"/>
          </w:tcPr>
          <w:p w14:paraId="2F50EC9E" w14:textId="65BF5748" w:rsidR="00DF3154" w:rsidRPr="007E1F31" w:rsidRDefault="00DF3154" w:rsidP="00DF3154">
            <w:r w:rsidRPr="007E1F31">
              <w:lastRenderedPageBreak/>
              <w:t xml:space="preserve"> </w:t>
            </w:r>
            <w:r w:rsidR="00092544">
              <w:rPr>
                <w:noProof/>
              </w:rPr>
              <w:drawing>
                <wp:inline distT="0" distB="0" distL="0" distR="0" wp14:anchorId="7884442A" wp14:editId="0537E564">
                  <wp:extent cx="3771900" cy="18599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1859915"/>
                          </a:xfrm>
                          <a:prstGeom prst="rect">
                            <a:avLst/>
                          </a:prstGeom>
                        </pic:spPr>
                      </pic:pic>
                    </a:graphicData>
                  </a:graphic>
                </wp:inline>
              </w:drawing>
            </w:r>
          </w:p>
          <w:p w14:paraId="4E0A96D8" w14:textId="22A3B0F6" w:rsidR="00DF3154" w:rsidRPr="007E1F31" w:rsidRDefault="00DF3154" w:rsidP="00DF3154"/>
          <w:p w14:paraId="0749C017" w14:textId="1604501C" w:rsidR="00DF3154" w:rsidRPr="007E1F31" w:rsidRDefault="00092544" w:rsidP="00DF3154">
            <w:r>
              <w:t>For the first time, TU students out-performed the Region 3 average on ALL CPC topics!</w:t>
            </w:r>
          </w:p>
          <w:p w14:paraId="335AE575" w14:textId="77777777" w:rsidR="00DF3154" w:rsidRPr="007E1F31" w:rsidRDefault="00DF3154" w:rsidP="00DF3154"/>
          <w:p w14:paraId="34938FBF" w14:textId="6EB00CC7" w:rsidR="00DF3154" w:rsidRDefault="002737AD" w:rsidP="00DF3154">
            <w:r>
              <w:t>Business Communications was the CPC area with the greatest performance over the Region 3 average, 12.30.  Both Accounting and B</w:t>
            </w:r>
            <w:r w:rsidR="00A00D72">
              <w:t>usiness Leadership were the two CPC areas with the smallest score in excess of the Region 3 average with 3.83 &amp; 3.92 respectively.</w:t>
            </w:r>
          </w:p>
          <w:p w14:paraId="5DE9F434" w14:textId="7D99C519" w:rsidR="00092544" w:rsidRDefault="00092544" w:rsidP="00DF3154"/>
          <w:p w14:paraId="0F2B51B6" w14:textId="284FF4F9" w:rsidR="00092544" w:rsidRDefault="00092544" w:rsidP="00DF3154">
            <w:r>
              <w:rPr>
                <w:noProof/>
              </w:rPr>
              <w:lastRenderedPageBreak/>
              <w:drawing>
                <wp:inline distT="0" distB="0" distL="0" distR="0" wp14:anchorId="1E75BD97" wp14:editId="25F7081F">
                  <wp:extent cx="3771900" cy="1993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1900" cy="1993900"/>
                          </a:xfrm>
                          <a:prstGeom prst="rect">
                            <a:avLst/>
                          </a:prstGeom>
                        </pic:spPr>
                      </pic:pic>
                    </a:graphicData>
                  </a:graphic>
                </wp:inline>
              </w:drawing>
            </w:r>
          </w:p>
          <w:p w14:paraId="4D45D4A3" w14:textId="0AAC17CD" w:rsidR="006863AD" w:rsidRPr="007E1F31" w:rsidRDefault="006863AD" w:rsidP="00DF3154"/>
          <w:p w14:paraId="1BFE6FC0" w14:textId="77777777" w:rsidR="00DF3154" w:rsidRPr="007E1F31" w:rsidRDefault="00DF3154" w:rsidP="00DF3154"/>
          <w:p w14:paraId="264615C2" w14:textId="77777777" w:rsidR="00DF3154" w:rsidRDefault="00DF3154" w:rsidP="00DF3154"/>
        </w:tc>
        <w:tc>
          <w:tcPr>
            <w:tcW w:w="2623" w:type="dxa"/>
          </w:tcPr>
          <w:p w14:paraId="0B11D8AB" w14:textId="77777777" w:rsidR="00DF3154" w:rsidRPr="00DF3154" w:rsidRDefault="00DF3154" w:rsidP="00DF3154">
            <w:pPr>
              <w:ind w:left="-18"/>
              <w:rPr>
                <w:b/>
              </w:rPr>
            </w:pPr>
            <w:r w:rsidRPr="00DF3154">
              <w:rPr>
                <w:b/>
              </w:rPr>
              <w:lastRenderedPageBreak/>
              <w:t>Recommendations:</w:t>
            </w:r>
          </w:p>
          <w:p w14:paraId="46B1C946" w14:textId="77777777" w:rsidR="00DF3154" w:rsidRDefault="00DF3154" w:rsidP="00DF3154">
            <w:pPr>
              <w:ind w:left="-18"/>
            </w:pPr>
          </w:p>
          <w:p w14:paraId="2D836244" w14:textId="28B2C397" w:rsidR="00DF3154" w:rsidRDefault="00AC0C19" w:rsidP="00DF3154">
            <w:r>
              <w:t xml:space="preserve">To share this data with the math department that teaches out MATH140 statistics class that is a core requirement of the BSBA program.  Additionally, it is recommended that the </w:t>
            </w:r>
            <w:proofErr w:type="spellStart"/>
            <w:r>
              <w:t>CoB</w:t>
            </w:r>
            <w:proofErr w:type="spellEnd"/>
            <w:r>
              <w:t xml:space="preserve"> consider teaching this class in-house.</w:t>
            </w:r>
          </w:p>
          <w:p w14:paraId="6D063C30" w14:textId="1DAB31B3" w:rsidR="005828DA" w:rsidRDefault="005828DA" w:rsidP="00DF3154"/>
          <w:p w14:paraId="4B9E5A65" w14:textId="0E3AC66D" w:rsidR="005828DA" w:rsidRPr="001B7A33" w:rsidRDefault="005828DA" w:rsidP="00DF3154">
            <w:r>
              <w:t>Additionally, the previously formed taskforce should review the new data for changes and anomalies.</w:t>
            </w:r>
          </w:p>
          <w:p w14:paraId="245D8A65" w14:textId="77777777" w:rsidR="00DF3154" w:rsidRPr="001B7A33" w:rsidRDefault="00DF3154" w:rsidP="00DF3154"/>
          <w:p w14:paraId="69BD7783" w14:textId="77777777" w:rsidR="00DF3154" w:rsidRDefault="00DF3154" w:rsidP="00AC0C19"/>
        </w:tc>
      </w:tr>
      <w:tr w:rsidR="00DF3154" w14:paraId="4837DCCB" w14:textId="77777777" w:rsidTr="00C931AE">
        <w:trPr>
          <w:trHeight w:val="720"/>
        </w:trPr>
        <w:tc>
          <w:tcPr>
            <w:tcW w:w="1378" w:type="dxa"/>
          </w:tcPr>
          <w:p w14:paraId="791B2C79" w14:textId="1FCD015C" w:rsidR="00DF3154" w:rsidRDefault="00DF3154" w:rsidP="00DF3154"/>
        </w:tc>
        <w:tc>
          <w:tcPr>
            <w:tcW w:w="2489" w:type="dxa"/>
          </w:tcPr>
          <w:p w14:paraId="13B6CF21" w14:textId="2F11B003" w:rsidR="007F626E" w:rsidRDefault="007F626E" w:rsidP="00DF3154">
            <w:pPr>
              <w:rPr>
                <w:b/>
              </w:rPr>
            </w:pPr>
          </w:p>
          <w:p w14:paraId="18064D8E" w14:textId="280D10B5" w:rsidR="00DF3154" w:rsidRDefault="00DF3154" w:rsidP="00DF3154">
            <w:r w:rsidRPr="00DF3154">
              <w:rPr>
                <w:b/>
              </w:rPr>
              <w:t>Objective 2:</w:t>
            </w:r>
            <w:r>
              <w:t xml:space="preserve"> </w:t>
            </w:r>
            <w:r w:rsidRPr="00D973E5">
              <w:t xml:space="preserve">Students will explore ethical dimensions and create a code of conduct for an </w:t>
            </w:r>
            <w:proofErr w:type="gramStart"/>
            <w:r w:rsidRPr="00D973E5">
              <w:t>organization</w:t>
            </w:r>
            <w:r w:rsidR="00C931AE">
              <w:t>.</w:t>
            </w:r>
            <w:r w:rsidR="00D213F8">
              <w:t>(</w:t>
            </w:r>
            <w:proofErr w:type="gramEnd"/>
            <w:r w:rsidR="00D213F8">
              <w:t>403)</w:t>
            </w:r>
          </w:p>
          <w:p w14:paraId="3AE3A27A" w14:textId="77777777" w:rsidR="00DF3154" w:rsidRDefault="00DF3154" w:rsidP="00DF3154"/>
          <w:p w14:paraId="5395F566" w14:textId="2F797EC4" w:rsidR="00DF3154" w:rsidRPr="007E1F31" w:rsidRDefault="00DF3154" w:rsidP="00DF3154">
            <w:r w:rsidRPr="007E1F31">
              <w:t>Students will be required to create a code of conduct for an existing organization. The assignment will be assessed via the Code of Conduct Rubric. Students are expected to score in the Accomplished/Exemplary range</w:t>
            </w:r>
            <w:r w:rsidR="00C931AE">
              <w:t xml:space="preserve">s for each rubric </w:t>
            </w:r>
            <w:proofErr w:type="gramStart"/>
            <w:r w:rsidR="00C931AE">
              <w:lastRenderedPageBreak/>
              <w:t>category</w:t>
            </w:r>
            <w:r w:rsidR="007F626E">
              <w:t>(</w:t>
            </w:r>
            <w:proofErr w:type="gramEnd"/>
            <w:r w:rsidR="007F626E">
              <w:t>i.e. 80% or greater)</w:t>
            </w:r>
            <w:r w:rsidRPr="007E1F31">
              <w:t>.</w:t>
            </w:r>
          </w:p>
          <w:p w14:paraId="22860955" w14:textId="77777777" w:rsidR="00DF3154" w:rsidRDefault="00DF3154" w:rsidP="00DF3154"/>
        </w:tc>
        <w:tc>
          <w:tcPr>
            <w:tcW w:w="2474" w:type="dxa"/>
          </w:tcPr>
          <w:p w14:paraId="742F2BF4" w14:textId="3C960DD1" w:rsidR="007F626E" w:rsidRDefault="007F626E" w:rsidP="00DF3154"/>
          <w:p w14:paraId="0B20C099" w14:textId="1490057C" w:rsidR="00DF3154" w:rsidRDefault="00DF3154" w:rsidP="00DF3154">
            <w:r w:rsidRPr="006E4DA7">
              <w:t xml:space="preserve">Address the need for students to make broader connections/implications to the organization that will allow them to draw thoughtful conclusions and awareness of the future implications of ethical issues. </w:t>
            </w:r>
            <w:r w:rsidRPr="007E1F31">
              <w:t xml:space="preserve">Develop an in-class discussion that will focus on ethical decision making within an organization.  </w:t>
            </w:r>
          </w:p>
        </w:tc>
        <w:tc>
          <w:tcPr>
            <w:tcW w:w="6156" w:type="dxa"/>
          </w:tcPr>
          <w:p w14:paraId="439613EA" w14:textId="17672601" w:rsidR="00DF3154" w:rsidRPr="00F92AC8" w:rsidRDefault="00DF3154" w:rsidP="00DF3154">
            <w:pPr>
              <w:autoSpaceDE w:val="0"/>
              <w:autoSpaceDN w:val="0"/>
              <w:adjustRightInd w:val="0"/>
            </w:pPr>
          </w:p>
          <w:p w14:paraId="75C31B45" w14:textId="72673279" w:rsidR="009F3813" w:rsidRDefault="009F3813" w:rsidP="00DF3154">
            <w:r>
              <w:rPr>
                <w:noProof/>
              </w:rPr>
              <w:drawing>
                <wp:inline distT="0" distB="0" distL="0" distR="0" wp14:anchorId="7C08353A" wp14:editId="61EEFA37">
                  <wp:extent cx="3771900" cy="24161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1900" cy="2416175"/>
                          </a:xfrm>
                          <a:prstGeom prst="rect">
                            <a:avLst/>
                          </a:prstGeom>
                        </pic:spPr>
                      </pic:pic>
                    </a:graphicData>
                  </a:graphic>
                </wp:inline>
              </w:drawing>
            </w:r>
          </w:p>
          <w:p w14:paraId="2D2BA35A" w14:textId="77777777" w:rsidR="009F3813" w:rsidRDefault="009F3813" w:rsidP="00DF3154"/>
          <w:p w14:paraId="02896256" w14:textId="6B3F50A5" w:rsidR="00DF3154" w:rsidRDefault="003212D5" w:rsidP="00DF3154">
            <w:r>
              <w:t>In general, there is a positive trend in each of the 5 rubric categories.  Continue to monitor.</w:t>
            </w:r>
          </w:p>
        </w:tc>
        <w:tc>
          <w:tcPr>
            <w:tcW w:w="2623" w:type="dxa"/>
          </w:tcPr>
          <w:p w14:paraId="49E7975F" w14:textId="4DC9D8EC" w:rsidR="007F626E" w:rsidRDefault="007F626E" w:rsidP="00DF3154">
            <w:pPr>
              <w:rPr>
                <w:b/>
              </w:rPr>
            </w:pPr>
          </w:p>
          <w:p w14:paraId="48C92172" w14:textId="0699809C" w:rsidR="00DF3154" w:rsidRPr="00DF3154" w:rsidRDefault="00DF3154" w:rsidP="00DF3154">
            <w:pPr>
              <w:rPr>
                <w:b/>
              </w:rPr>
            </w:pPr>
            <w:r w:rsidRPr="00DF3154">
              <w:rPr>
                <w:b/>
              </w:rPr>
              <w:t xml:space="preserve">Recommendations: </w:t>
            </w:r>
          </w:p>
          <w:p w14:paraId="6714F47E" w14:textId="77777777" w:rsidR="00DF3154" w:rsidRDefault="00DF3154" w:rsidP="00DF3154">
            <w:pPr>
              <w:rPr>
                <w:color w:val="FF0000"/>
              </w:rPr>
            </w:pPr>
          </w:p>
          <w:p w14:paraId="6B8E2BEC" w14:textId="29F47D10" w:rsidR="00DF3154" w:rsidRDefault="00DF3154" w:rsidP="00DF3154">
            <w:r w:rsidRPr="00F92AC8">
              <w:t xml:space="preserve">Continue to </w:t>
            </w:r>
            <w:r>
              <w:t>a</w:t>
            </w:r>
            <w:r w:rsidRPr="006E4DA7">
              <w:t xml:space="preserve">ddress the need for students to make broader connections/implications to the organization that will allow them to draw thoughtful conclusions and awareness of the future implications of ethical issues. </w:t>
            </w:r>
            <w:r w:rsidRPr="007E1F31">
              <w:t xml:space="preserve">Develop an in-class discussion that will focus on ethical decision making within an organization.  </w:t>
            </w:r>
          </w:p>
        </w:tc>
      </w:tr>
      <w:tr w:rsidR="00DF3154" w14:paraId="063991BB" w14:textId="77777777" w:rsidTr="008D2DF6">
        <w:trPr>
          <w:trHeight w:val="720"/>
        </w:trPr>
        <w:tc>
          <w:tcPr>
            <w:tcW w:w="1378" w:type="dxa"/>
          </w:tcPr>
          <w:p w14:paraId="0DCBEB48" w14:textId="03BFA493" w:rsidR="00DF3154" w:rsidRDefault="00DF3154" w:rsidP="00DF3154">
            <w:r w:rsidRPr="00DF3154">
              <w:rPr>
                <w:b/>
              </w:rPr>
              <w:lastRenderedPageBreak/>
              <w:t>Outcome 2:</w:t>
            </w:r>
            <w:r w:rsidRPr="001305E8">
              <w:t xml:space="preserve"> Students will</w:t>
            </w:r>
            <w:r>
              <w:t xml:space="preserve"> i</w:t>
            </w:r>
            <w:r w:rsidRPr="00B44C7E">
              <w:t xml:space="preserve">dentify </w:t>
            </w:r>
            <w:r w:rsidR="00D213F8">
              <w:t xml:space="preserve">and demonstrate </w:t>
            </w:r>
            <w:r w:rsidRPr="00B44C7E">
              <w:t>knowledge and skills that indicate appropriate professional demeanor and career readiness</w:t>
            </w:r>
            <w:r w:rsidR="00D213F8">
              <w:t>.(325)</w:t>
            </w:r>
          </w:p>
        </w:tc>
        <w:tc>
          <w:tcPr>
            <w:tcW w:w="2489" w:type="dxa"/>
            <w:shd w:val="clear" w:color="auto" w:fill="4472C4" w:themeFill="accent1"/>
          </w:tcPr>
          <w:p w14:paraId="630DEF10" w14:textId="77777777" w:rsidR="00DF3154" w:rsidRDefault="00DF3154" w:rsidP="00DF3154"/>
        </w:tc>
        <w:tc>
          <w:tcPr>
            <w:tcW w:w="2474" w:type="dxa"/>
            <w:shd w:val="clear" w:color="auto" w:fill="4472C4" w:themeFill="accent1"/>
          </w:tcPr>
          <w:p w14:paraId="289924B6" w14:textId="77777777" w:rsidR="00DF3154" w:rsidRDefault="00DF3154" w:rsidP="00DF3154"/>
        </w:tc>
        <w:tc>
          <w:tcPr>
            <w:tcW w:w="6156" w:type="dxa"/>
            <w:shd w:val="clear" w:color="auto" w:fill="4472C4" w:themeFill="accent1"/>
          </w:tcPr>
          <w:p w14:paraId="1622232D" w14:textId="77777777" w:rsidR="00DF3154" w:rsidRDefault="00DF3154" w:rsidP="00DF3154"/>
        </w:tc>
        <w:tc>
          <w:tcPr>
            <w:tcW w:w="2623" w:type="dxa"/>
            <w:shd w:val="clear" w:color="auto" w:fill="4472C4" w:themeFill="accent1"/>
          </w:tcPr>
          <w:p w14:paraId="36AC2CA5" w14:textId="77777777" w:rsidR="00DF3154" w:rsidRDefault="00DF3154" w:rsidP="00DF3154"/>
        </w:tc>
      </w:tr>
      <w:tr w:rsidR="00DF3154" w14:paraId="449C0355" w14:textId="77777777" w:rsidTr="00C931AE">
        <w:trPr>
          <w:trHeight w:val="720"/>
        </w:trPr>
        <w:tc>
          <w:tcPr>
            <w:tcW w:w="1378" w:type="dxa"/>
          </w:tcPr>
          <w:p w14:paraId="2B9F40D0" w14:textId="50F7D822" w:rsidR="00DF3154" w:rsidRDefault="00DF3154" w:rsidP="00DF3154"/>
        </w:tc>
        <w:tc>
          <w:tcPr>
            <w:tcW w:w="2489" w:type="dxa"/>
          </w:tcPr>
          <w:p w14:paraId="189FE7CD" w14:textId="29DBEDFA" w:rsidR="00DF3154" w:rsidRDefault="00DF3154" w:rsidP="00DF3154">
            <w:r w:rsidRPr="00DF3154">
              <w:rPr>
                <w:b/>
              </w:rPr>
              <w:t>Objective 1:</w:t>
            </w:r>
            <w:r>
              <w:t xml:space="preserve"> Students will </w:t>
            </w:r>
            <w:r w:rsidR="0069320A">
              <w:t xml:space="preserve">organize relevant personal career related experience and abilities into a professional business </w:t>
            </w:r>
            <w:proofErr w:type="gramStart"/>
            <w:r w:rsidR="0069320A">
              <w:t>resume.</w:t>
            </w:r>
            <w:r w:rsidR="00AA00D6">
              <w:t>(</w:t>
            </w:r>
            <w:proofErr w:type="gramEnd"/>
            <w:r w:rsidR="00AA00D6">
              <w:t>325)</w:t>
            </w:r>
          </w:p>
          <w:p w14:paraId="1476B6A2" w14:textId="77777777" w:rsidR="00DF3154" w:rsidRDefault="00DF3154" w:rsidP="00DF3154"/>
          <w:p w14:paraId="0B98048F" w14:textId="11D0DB38" w:rsidR="00DF3154" w:rsidRDefault="00DF3154" w:rsidP="00DF3154">
            <w:r>
              <w:t xml:space="preserve">This is assessed via resume rubric. </w:t>
            </w:r>
          </w:p>
          <w:p w14:paraId="61F39F3D" w14:textId="77777777" w:rsidR="00DF3154" w:rsidRPr="00292280" w:rsidRDefault="00DF3154" w:rsidP="00DF3154">
            <w:r>
              <w:t xml:space="preserve">Students are asked to organize </w:t>
            </w:r>
            <w:r w:rsidRPr="00292280">
              <w:t>relevant career experience and abilities into a professional business resume.</w:t>
            </w:r>
          </w:p>
          <w:p w14:paraId="178647F4" w14:textId="5A30D754" w:rsidR="00DF3154" w:rsidRDefault="00DF3154" w:rsidP="00DF3154">
            <w:r w:rsidRPr="00292280">
              <w:t xml:space="preserve">The rubric assesses students based on ratings of </w:t>
            </w:r>
            <w:r>
              <w:t xml:space="preserve">5-point Likert </w:t>
            </w:r>
            <w:r>
              <w:lastRenderedPageBreak/>
              <w:t xml:space="preserve">scale, with 5 being the top score. </w:t>
            </w:r>
            <w:r w:rsidRPr="00292280">
              <w:t xml:space="preserve">Students are expected to score in the </w:t>
            </w:r>
            <w:r>
              <w:t xml:space="preserve">at least 3 </w:t>
            </w:r>
            <w:r w:rsidRPr="00292280">
              <w:t>for each rubric category.</w:t>
            </w:r>
          </w:p>
        </w:tc>
        <w:tc>
          <w:tcPr>
            <w:tcW w:w="2474" w:type="dxa"/>
          </w:tcPr>
          <w:p w14:paraId="1EC18823" w14:textId="77777777" w:rsidR="00DF3154" w:rsidRDefault="00DF3154" w:rsidP="00DF3154">
            <w:r w:rsidRPr="00292280">
              <w:lastRenderedPageBreak/>
              <w:t xml:space="preserve">Provide in-class examples of how to present experience (educational or employment) on a resume. Give examples on what </w:t>
            </w:r>
            <w:r w:rsidRPr="002B3E8B">
              <w:t>spent leading a project</w:t>
            </w:r>
            <w:r w:rsidRPr="00292280">
              <w:t xml:space="preserve"> additional sections of a resume could </w:t>
            </w:r>
            <w:r w:rsidRPr="002B3E8B">
              <w:t>look like. This will include leadership awards, times, etc.</w:t>
            </w:r>
          </w:p>
          <w:p w14:paraId="15830DB2" w14:textId="77777777" w:rsidR="00DF3154" w:rsidRDefault="00DF3154" w:rsidP="00DF3154"/>
        </w:tc>
        <w:tc>
          <w:tcPr>
            <w:tcW w:w="6156" w:type="dxa"/>
          </w:tcPr>
          <w:p w14:paraId="370393A9" w14:textId="00EF2EB7" w:rsidR="00DF3154" w:rsidRDefault="00DF3154" w:rsidP="00DF3154"/>
          <w:p w14:paraId="1F448FA1" w14:textId="32EA2470" w:rsidR="00DF3154" w:rsidRDefault="003212D5" w:rsidP="00DF3154">
            <w:r>
              <w:rPr>
                <w:noProof/>
              </w:rPr>
              <w:drawing>
                <wp:inline distT="0" distB="0" distL="0" distR="0" wp14:anchorId="5B84A1D8" wp14:editId="0A41CE6A">
                  <wp:extent cx="3771900" cy="19380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1900" cy="1938020"/>
                          </a:xfrm>
                          <a:prstGeom prst="rect">
                            <a:avLst/>
                          </a:prstGeom>
                        </pic:spPr>
                      </pic:pic>
                    </a:graphicData>
                  </a:graphic>
                </wp:inline>
              </w:drawing>
            </w:r>
          </w:p>
          <w:p w14:paraId="73325F9C" w14:textId="5F5EF60D" w:rsidR="009550BA" w:rsidRPr="009550BA" w:rsidRDefault="009550BA" w:rsidP="00DF3154">
            <w:pPr>
              <w:rPr>
                <w:rFonts w:cstheme="minorHAnsi"/>
                <w:color w:val="000000"/>
              </w:rPr>
            </w:pPr>
            <w:r w:rsidRPr="009550BA">
              <w:rPr>
                <w:rFonts w:cstheme="minorHAnsi"/>
                <w:color w:val="000000"/>
              </w:rPr>
              <w:t xml:space="preserve">Students are expected to score in the “above average” ranking for each rubric </w:t>
            </w:r>
            <w:proofErr w:type="gramStart"/>
            <w:r w:rsidRPr="009550BA">
              <w:rPr>
                <w:rFonts w:cstheme="minorHAnsi"/>
                <w:color w:val="000000"/>
              </w:rPr>
              <w:t>category</w:t>
            </w:r>
            <w:r>
              <w:rPr>
                <w:rFonts w:cstheme="minorHAnsi"/>
                <w:color w:val="000000"/>
              </w:rPr>
              <w:t>(</w:t>
            </w:r>
            <w:proofErr w:type="spellStart"/>
            <w:proofErr w:type="gramEnd"/>
            <w:r>
              <w:rPr>
                <w:rFonts w:cstheme="minorHAnsi"/>
                <w:color w:val="000000"/>
              </w:rPr>
              <w:t>ie</w:t>
            </w:r>
            <w:proofErr w:type="spellEnd"/>
            <w:r>
              <w:rPr>
                <w:rFonts w:cstheme="minorHAnsi"/>
                <w:color w:val="000000"/>
              </w:rPr>
              <w:t>. 3 or greater). Students</w:t>
            </w:r>
            <w:r w:rsidRPr="009550BA">
              <w:rPr>
                <w:rFonts w:cstheme="minorHAnsi"/>
                <w:color w:val="000000"/>
              </w:rPr>
              <w:t xml:space="preserve"> met this in every rubric category</w:t>
            </w:r>
            <w:r>
              <w:rPr>
                <w:rFonts w:cstheme="minorHAnsi"/>
                <w:color w:val="000000"/>
              </w:rPr>
              <w:t xml:space="preserve"> in </w:t>
            </w:r>
            <w:r w:rsidR="003212D5">
              <w:rPr>
                <w:rFonts w:cstheme="minorHAnsi"/>
                <w:color w:val="000000"/>
              </w:rPr>
              <w:t>SP21 and FA20</w:t>
            </w:r>
            <w:r>
              <w:rPr>
                <w:rFonts w:cstheme="minorHAnsi"/>
                <w:color w:val="000000"/>
              </w:rPr>
              <w:t xml:space="preserve"> and in</w:t>
            </w:r>
            <w:r w:rsidRPr="009550BA">
              <w:rPr>
                <w:rFonts w:cstheme="minorHAnsi"/>
                <w:color w:val="000000"/>
              </w:rPr>
              <w:t xml:space="preserve"> each term </w:t>
            </w:r>
            <w:r>
              <w:rPr>
                <w:rFonts w:cstheme="minorHAnsi"/>
                <w:color w:val="000000"/>
              </w:rPr>
              <w:t xml:space="preserve">prior </w:t>
            </w:r>
            <w:r w:rsidRPr="009550BA">
              <w:rPr>
                <w:rFonts w:cstheme="minorHAnsi"/>
                <w:color w:val="000000"/>
              </w:rPr>
              <w:t xml:space="preserve">with the exception of 2019 FA. </w:t>
            </w:r>
          </w:p>
          <w:p w14:paraId="7D5A8F57" w14:textId="77777777" w:rsidR="009550BA" w:rsidRDefault="009550BA" w:rsidP="00DF3154"/>
          <w:p w14:paraId="2446CB63" w14:textId="6FA3E379" w:rsidR="00DF3154" w:rsidRDefault="0069320A" w:rsidP="00DF3154">
            <w:r>
              <w:lastRenderedPageBreak/>
              <w:t xml:space="preserve">*note, this year the resume assignment transitioned from being embedded </w:t>
            </w:r>
            <w:r w:rsidR="00AA00D6">
              <w:t>in BUSN 226 (Accounting)</w:t>
            </w:r>
            <w:r>
              <w:t xml:space="preserve"> and into BUSN325 – Professional Communications.</w:t>
            </w:r>
          </w:p>
          <w:p w14:paraId="1620E363" w14:textId="77777777" w:rsidR="009550BA" w:rsidRPr="00292280" w:rsidRDefault="009550BA" w:rsidP="00DF3154"/>
          <w:p w14:paraId="5FB12607" w14:textId="77777777" w:rsidR="00DF3154" w:rsidRDefault="00DF3154" w:rsidP="00DF3154"/>
        </w:tc>
        <w:tc>
          <w:tcPr>
            <w:tcW w:w="2623" w:type="dxa"/>
          </w:tcPr>
          <w:p w14:paraId="2B2B9264" w14:textId="77777777" w:rsidR="00DF3154" w:rsidRPr="00DF3154" w:rsidRDefault="00DF3154" w:rsidP="00DF3154">
            <w:pPr>
              <w:rPr>
                <w:b/>
              </w:rPr>
            </w:pPr>
            <w:r w:rsidRPr="00DF3154">
              <w:rPr>
                <w:b/>
              </w:rPr>
              <w:lastRenderedPageBreak/>
              <w:t>Recommendations:</w:t>
            </w:r>
          </w:p>
          <w:p w14:paraId="419BC21F" w14:textId="77777777" w:rsidR="00DF3154" w:rsidRPr="00292280" w:rsidRDefault="00DF3154" w:rsidP="00DF3154"/>
          <w:p w14:paraId="2A0CB582" w14:textId="404574A0" w:rsidR="00DF3154" w:rsidRDefault="00DF3154" w:rsidP="00DF3154"/>
        </w:tc>
      </w:tr>
      <w:tr w:rsidR="00DF3154" w14:paraId="06267C14" w14:textId="77777777" w:rsidTr="00C931AE">
        <w:trPr>
          <w:trHeight w:val="720"/>
        </w:trPr>
        <w:tc>
          <w:tcPr>
            <w:tcW w:w="1378" w:type="dxa"/>
          </w:tcPr>
          <w:p w14:paraId="3E4B7024" w14:textId="4BEB49F9" w:rsidR="00DF3154" w:rsidRDefault="00DF3154" w:rsidP="00DF3154"/>
        </w:tc>
        <w:tc>
          <w:tcPr>
            <w:tcW w:w="2489" w:type="dxa"/>
          </w:tcPr>
          <w:p w14:paraId="321DED3D" w14:textId="2402E5EB" w:rsidR="00DF3154" w:rsidRDefault="00DF3154" w:rsidP="00DF3154">
            <w:r w:rsidRPr="00DF3154">
              <w:rPr>
                <w:b/>
              </w:rPr>
              <w:t>Objective 2:</w:t>
            </w:r>
            <w:r>
              <w:t xml:space="preserve"> Students will identify appropriate strategies for business interviews and interpersonal </w:t>
            </w:r>
            <w:proofErr w:type="gramStart"/>
            <w:r>
              <w:t>communication.</w:t>
            </w:r>
            <w:r w:rsidR="00AA00D6">
              <w:t>(</w:t>
            </w:r>
            <w:proofErr w:type="gramEnd"/>
            <w:r w:rsidR="00AA00D6">
              <w:t>325)</w:t>
            </w:r>
          </w:p>
          <w:p w14:paraId="039AFF82" w14:textId="77777777" w:rsidR="00DF3154" w:rsidRDefault="00DF3154" w:rsidP="00DF3154"/>
          <w:p w14:paraId="587CE670" w14:textId="6BFF3137" w:rsidR="00DF3154" w:rsidRDefault="00C472E1" w:rsidP="00DF3154">
            <w:r>
              <w:t xml:space="preserve">This assessment was a </w:t>
            </w:r>
            <w:r w:rsidR="00DF3154">
              <w:t>20-question multiple choice quiz in the BUSN 226 course</w:t>
            </w:r>
            <w:r>
              <w:t xml:space="preserve"> until Fall of 2020 when it was transitioned to a 10-question </w:t>
            </w:r>
            <w:proofErr w:type="gramStart"/>
            <w:r>
              <w:t>quiz(</w:t>
            </w:r>
            <w:r w:rsidR="009550BA">
              <w:t xml:space="preserve"> </w:t>
            </w:r>
            <w:r>
              <w:t>week</w:t>
            </w:r>
            <w:proofErr w:type="gramEnd"/>
            <w:r>
              <w:t xml:space="preserve"> 4) in the BUSN 325 course</w:t>
            </w:r>
            <w:r w:rsidR="00DF3154">
              <w:t>. This assessment was an internal, direct, and formative assessment that assessed the student’s ability to identify appr</w:t>
            </w:r>
            <w:r>
              <w:t>opriate behaviors for interviewing.</w:t>
            </w:r>
          </w:p>
          <w:p w14:paraId="59DC6A4C" w14:textId="77777777" w:rsidR="00C86C87" w:rsidRDefault="00C86C87" w:rsidP="00DF3154"/>
          <w:p w14:paraId="6F19EED7" w14:textId="4DD7A751" w:rsidR="00C86C87" w:rsidRDefault="00C86C87" w:rsidP="00DF3154">
            <w:r w:rsidRPr="00C86C87">
              <w:t>Students were expected to score at least 80% in each category.</w:t>
            </w:r>
          </w:p>
        </w:tc>
        <w:tc>
          <w:tcPr>
            <w:tcW w:w="2474" w:type="dxa"/>
          </w:tcPr>
          <w:p w14:paraId="50EC9F2C" w14:textId="4E0CEDDE" w:rsidR="00DF3154" w:rsidRPr="00C931AE" w:rsidRDefault="004A428A" w:rsidP="004A428A">
            <w:pPr>
              <w:pStyle w:val="NormalWeb"/>
              <w:rPr>
                <w:rFonts w:cstheme="minorHAnsi"/>
              </w:rPr>
            </w:pPr>
            <w:r>
              <w:rPr>
                <w:rFonts w:asciiTheme="minorHAnsi" w:hAnsiTheme="minorHAnsi" w:cstheme="minorHAnsi"/>
                <w:sz w:val="22"/>
                <w:szCs w:val="22"/>
              </w:rPr>
              <w:t>The instructor will continue to fine-tune the quiz questions to ensure that they are relevant</w:t>
            </w:r>
            <w:r w:rsidR="009550BA">
              <w:rPr>
                <w:rFonts w:asciiTheme="minorHAnsi" w:hAnsiTheme="minorHAnsi" w:cstheme="minorHAnsi"/>
                <w:sz w:val="22"/>
                <w:szCs w:val="22"/>
              </w:rPr>
              <w:t xml:space="preserve"> to interpersonal communications and career readiness</w:t>
            </w:r>
            <w:r w:rsidR="00DF3154" w:rsidRPr="00C931AE">
              <w:rPr>
                <w:rFonts w:asciiTheme="minorHAnsi" w:hAnsiTheme="minorHAnsi" w:cstheme="minorHAnsi"/>
                <w:sz w:val="22"/>
                <w:szCs w:val="22"/>
              </w:rPr>
              <w:t xml:space="preserve">. </w:t>
            </w:r>
          </w:p>
        </w:tc>
        <w:tc>
          <w:tcPr>
            <w:tcW w:w="6156" w:type="dxa"/>
          </w:tcPr>
          <w:p w14:paraId="165B2894" w14:textId="6555D6EA" w:rsidR="00DF3154" w:rsidRPr="00731106" w:rsidRDefault="003212D5" w:rsidP="00DF3154">
            <w:r>
              <w:rPr>
                <w:noProof/>
              </w:rPr>
              <w:drawing>
                <wp:inline distT="0" distB="0" distL="0" distR="0" wp14:anchorId="2922AEC5" wp14:editId="3297744A">
                  <wp:extent cx="3771900" cy="23609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1900" cy="2360930"/>
                          </a:xfrm>
                          <a:prstGeom prst="rect">
                            <a:avLst/>
                          </a:prstGeom>
                        </pic:spPr>
                      </pic:pic>
                    </a:graphicData>
                  </a:graphic>
                </wp:inline>
              </w:drawing>
            </w:r>
          </w:p>
          <w:p w14:paraId="423065DF" w14:textId="77777777" w:rsidR="00DF3154" w:rsidRDefault="00DF3154" w:rsidP="00DF3154"/>
          <w:p w14:paraId="646B5779" w14:textId="3267C69E" w:rsidR="00DF3154" w:rsidRPr="00731106" w:rsidRDefault="00DF3154" w:rsidP="00DF3154"/>
          <w:p w14:paraId="20A33892" w14:textId="0B720BD6" w:rsidR="00DF3154" w:rsidRPr="00C86C87" w:rsidRDefault="004D01B1" w:rsidP="00BA35E9">
            <w:pPr>
              <w:rPr>
                <w:rFonts w:cstheme="minorHAnsi"/>
              </w:rPr>
            </w:pPr>
            <w:r w:rsidRPr="00C86C87">
              <w:rPr>
                <w:rFonts w:cstheme="minorHAnsi"/>
                <w:color w:val="000000"/>
              </w:rPr>
              <w:t>Students scored relatively the same each term</w:t>
            </w:r>
            <w:r w:rsidR="004A428A">
              <w:rPr>
                <w:rFonts w:cstheme="minorHAnsi"/>
                <w:color w:val="000000"/>
              </w:rPr>
              <w:t xml:space="preserve"> with scores ranging from 72% to 92% in Fall 2019 and Spring 2020, respectively.</w:t>
            </w:r>
            <w:r w:rsidR="003212D5">
              <w:rPr>
                <w:rFonts w:cstheme="minorHAnsi"/>
                <w:color w:val="000000"/>
              </w:rPr>
              <w:t xml:space="preserve">  </w:t>
            </w:r>
            <w:r w:rsidR="004A428A">
              <w:rPr>
                <w:rFonts w:cstheme="minorHAnsi"/>
                <w:color w:val="000000"/>
              </w:rPr>
              <w:t>Both online Fall 2020 classes were in the 84-85% range</w:t>
            </w:r>
            <w:r w:rsidR="009550BA">
              <w:rPr>
                <w:rFonts w:cstheme="minorHAnsi"/>
                <w:color w:val="000000"/>
              </w:rPr>
              <w:t>, exceeding the goal of 80%</w:t>
            </w:r>
            <w:r w:rsidR="004A428A">
              <w:rPr>
                <w:rFonts w:cstheme="minorHAnsi"/>
                <w:color w:val="000000"/>
              </w:rPr>
              <w:t>.</w:t>
            </w:r>
            <w:r w:rsidR="00BA35E9">
              <w:rPr>
                <w:rFonts w:cstheme="minorHAnsi"/>
                <w:color w:val="000000"/>
              </w:rPr>
              <w:t xml:space="preserve"> The Spring classes were 77% and 84%, respectively with the first dipping below the 80% goal. (Note: lower N of 18)</w:t>
            </w:r>
          </w:p>
        </w:tc>
        <w:tc>
          <w:tcPr>
            <w:tcW w:w="2623" w:type="dxa"/>
          </w:tcPr>
          <w:p w14:paraId="6A9FE859" w14:textId="77777777" w:rsidR="00DF3154" w:rsidRPr="004D01B1" w:rsidRDefault="00DF3154" w:rsidP="00DF3154">
            <w:pPr>
              <w:rPr>
                <w:rFonts w:cstheme="minorHAnsi"/>
                <w:b/>
              </w:rPr>
            </w:pPr>
            <w:r w:rsidRPr="004D01B1">
              <w:rPr>
                <w:rFonts w:cstheme="minorHAnsi"/>
                <w:b/>
              </w:rPr>
              <w:t>Recommendations:</w:t>
            </w:r>
          </w:p>
          <w:p w14:paraId="13A18BF5" w14:textId="77777777" w:rsidR="00DF3154" w:rsidRPr="004D01B1" w:rsidRDefault="00DF3154" w:rsidP="00DF3154">
            <w:pPr>
              <w:rPr>
                <w:rFonts w:cstheme="minorHAnsi"/>
              </w:rPr>
            </w:pPr>
          </w:p>
          <w:p w14:paraId="3782DF84" w14:textId="19F13B3F" w:rsidR="00DF3154" w:rsidRPr="004D01B1" w:rsidRDefault="00C86C87" w:rsidP="00DF3154">
            <w:pPr>
              <w:pStyle w:val="NormalWeb"/>
              <w:rPr>
                <w:rFonts w:asciiTheme="minorHAnsi" w:hAnsiTheme="minorHAnsi" w:cstheme="minorHAnsi"/>
                <w:color w:val="FF0000"/>
                <w:sz w:val="22"/>
                <w:szCs w:val="22"/>
              </w:rPr>
            </w:pPr>
            <w:r>
              <w:rPr>
                <w:rFonts w:asciiTheme="minorHAnsi" w:hAnsiTheme="minorHAnsi" w:cstheme="minorHAnsi"/>
                <w:sz w:val="22"/>
                <w:szCs w:val="22"/>
              </w:rPr>
              <w:t xml:space="preserve">This assessment </w:t>
            </w:r>
            <w:r w:rsidR="004A428A">
              <w:rPr>
                <w:rFonts w:asciiTheme="minorHAnsi" w:hAnsiTheme="minorHAnsi" w:cstheme="minorHAnsi"/>
                <w:sz w:val="22"/>
                <w:szCs w:val="22"/>
              </w:rPr>
              <w:t xml:space="preserve">moved from BUSN 226 to BUSN 325 – Professional Communications which is </w:t>
            </w:r>
            <w:r>
              <w:rPr>
                <w:rFonts w:asciiTheme="minorHAnsi" w:hAnsiTheme="minorHAnsi" w:cstheme="minorHAnsi"/>
                <w:sz w:val="22"/>
                <w:szCs w:val="22"/>
              </w:rPr>
              <w:t xml:space="preserve">a more appropriately </w:t>
            </w:r>
            <w:r w:rsidR="004A428A">
              <w:rPr>
                <w:rFonts w:asciiTheme="minorHAnsi" w:hAnsiTheme="minorHAnsi" w:cstheme="minorHAnsi"/>
                <w:sz w:val="22"/>
                <w:szCs w:val="22"/>
              </w:rPr>
              <w:t>class for this assessment.  Recommendation is to monitor this assessment to ensure that we are capturing it adequately.  An additional recommendation is to review data and perhaps report the %age of the class scoring over 80% rather than an average score.</w:t>
            </w:r>
          </w:p>
          <w:p w14:paraId="30BE0DDC" w14:textId="77777777" w:rsidR="00DF3154" w:rsidRPr="004D01B1" w:rsidRDefault="00DF3154" w:rsidP="00DF3154">
            <w:pPr>
              <w:rPr>
                <w:rFonts w:cstheme="minorHAnsi"/>
              </w:rPr>
            </w:pPr>
          </w:p>
        </w:tc>
      </w:tr>
      <w:tr w:rsidR="00DF3154" w14:paraId="288C83EF" w14:textId="77777777" w:rsidTr="00D24D37">
        <w:trPr>
          <w:trHeight w:val="720"/>
        </w:trPr>
        <w:tc>
          <w:tcPr>
            <w:tcW w:w="1378" w:type="dxa"/>
          </w:tcPr>
          <w:p w14:paraId="546EF0B7" w14:textId="4ABC78EB" w:rsidR="00DF3154" w:rsidRDefault="00DF3154" w:rsidP="00D213F8">
            <w:r w:rsidRPr="00DF3154">
              <w:rPr>
                <w:b/>
              </w:rPr>
              <w:lastRenderedPageBreak/>
              <w:t>Outcome 3:</w:t>
            </w:r>
            <w:r>
              <w:t xml:space="preserve"> Students will e</w:t>
            </w:r>
            <w:r w:rsidR="00D213F8">
              <w:t xml:space="preserve">xhibit </w:t>
            </w:r>
            <w:r w:rsidRPr="00B44C7E">
              <w:t xml:space="preserve">a commitment to civic engagement by applying business knowledge </w:t>
            </w:r>
            <w:r w:rsidR="00D213F8">
              <w:t>to</w:t>
            </w:r>
            <w:r w:rsidRPr="00B44C7E">
              <w:t xml:space="preserve"> a service project</w:t>
            </w:r>
            <w:r w:rsidR="00D213F8">
              <w:t>. (352, VITA)</w:t>
            </w:r>
          </w:p>
        </w:tc>
        <w:tc>
          <w:tcPr>
            <w:tcW w:w="2489" w:type="dxa"/>
            <w:shd w:val="clear" w:color="auto" w:fill="4472C4" w:themeFill="accent1"/>
          </w:tcPr>
          <w:p w14:paraId="3F1572B9" w14:textId="77777777" w:rsidR="00DF3154" w:rsidRDefault="00DF3154" w:rsidP="00DF3154"/>
        </w:tc>
        <w:tc>
          <w:tcPr>
            <w:tcW w:w="2474" w:type="dxa"/>
            <w:shd w:val="clear" w:color="auto" w:fill="4472C4" w:themeFill="accent1"/>
          </w:tcPr>
          <w:p w14:paraId="34DEFFAB" w14:textId="77777777" w:rsidR="00DF3154" w:rsidRPr="00C931AE" w:rsidRDefault="00DF3154" w:rsidP="00DF3154">
            <w:pPr>
              <w:pStyle w:val="NormalWeb"/>
              <w:rPr>
                <w:rFonts w:asciiTheme="minorHAnsi" w:hAnsiTheme="minorHAnsi" w:cstheme="minorHAnsi"/>
                <w:sz w:val="22"/>
                <w:szCs w:val="22"/>
              </w:rPr>
            </w:pPr>
          </w:p>
        </w:tc>
        <w:tc>
          <w:tcPr>
            <w:tcW w:w="6156" w:type="dxa"/>
            <w:shd w:val="clear" w:color="auto" w:fill="4472C4" w:themeFill="accent1"/>
          </w:tcPr>
          <w:p w14:paraId="6A032281" w14:textId="77777777" w:rsidR="00DF3154" w:rsidRPr="00731106" w:rsidRDefault="00DF3154" w:rsidP="00DF3154"/>
        </w:tc>
        <w:tc>
          <w:tcPr>
            <w:tcW w:w="2623" w:type="dxa"/>
            <w:shd w:val="clear" w:color="auto" w:fill="4472C4" w:themeFill="accent1"/>
          </w:tcPr>
          <w:p w14:paraId="154F9179" w14:textId="77777777" w:rsidR="00DF3154" w:rsidRPr="00731106" w:rsidRDefault="00DF3154" w:rsidP="00DF3154"/>
        </w:tc>
      </w:tr>
      <w:tr w:rsidR="00D24D37" w14:paraId="0F2B91D4" w14:textId="77777777" w:rsidTr="00D24D37">
        <w:trPr>
          <w:trHeight w:val="720"/>
        </w:trPr>
        <w:tc>
          <w:tcPr>
            <w:tcW w:w="1378" w:type="dxa"/>
          </w:tcPr>
          <w:p w14:paraId="3B7D4BCF" w14:textId="77777777" w:rsidR="00D24D37" w:rsidRPr="00DF3154" w:rsidRDefault="00D24D37" w:rsidP="00DF3154">
            <w:pPr>
              <w:rPr>
                <w:b/>
              </w:rPr>
            </w:pPr>
          </w:p>
        </w:tc>
        <w:tc>
          <w:tcPr>
            <w:tcW w:w="2489" w:type="dxa"/>
            <w:shd w:val="clear" w:color="auto" w:fill="FFFFFF" w:themeFill="background1"/>
          </w:tcPr>
          <w:p w14:paraId="50D22010" w14:textId="2A7CA0C6" w:rsidR="00D24D37" w:rsidRDefault="00E13599" w:rsidP="00DF3154">
            <w:r w:rsidRPr="00E13599">
              <w:rPr>
                <w:b/>
              </w:rPr>
              <w:t>Objective 1:</w:t>
            </w:r>
            <w:r w:rsidRPr="00E13599">
              <w:t xml:space="preserve"> Students will present on financial literacy to Tusculum Experience students. (BUSN 352)</w:t>
            </w:r>
          </w:p>
        </w:tc>
        <w:tc>
          <w:tcPr>
            <w:tcW w:w="2474" w:type="dxa"/>
            <w:shd w:val="clear" w:color="auto" w:fill="FFFFFF" w:themeFill="background1"/>
          </w:tcPr>
          <w:p w14:paraId="6D657D78" w14:textId="77777777" w:rsidR="00D14C48" w:rsidRDefault="00D14C48" w:rsidP="00AA00D6">
            <w:pPr>
              <w:pStyle w:val="NormalWeb"/>
              <w:rPr>
                <w:rFonts w:asciiTheme="minorHAnsi" w:hAnsiTheme="minorHAnsi" w:cstheme="minorHAnsi"/>
                <w:sz w:val="22"/>
                <w:szCs w:val="22"/>
              </w:rPr>
            </w:pPr>
            <w:r>
              <w:rPr>
                <w:rFonts w:asciiTheme="minorHAnsi" w:hAnsiTheme="minorHAnsi" w:cstheme="minorHAnsi"/>
                <w:sz w:val="22"/>
                <w:szCs w:val="22"/>
              </w:rPr>
              <w:t>This year s</w:t>
            </w:r>
            <w:r w:rsidR="00AA00D6" w:rsidRPr="00AA00D6">
              <w:rPr>
                <w:rFonts w:asciiTheme="minorHAnsi" w:hAnsiTheme="minorHAnsi" w:cstheme="minorHAnsi"/>
                <w:sz w:val="22"/>
                <w:szCs w:val="22"/>
              </w:rPr>
              <w:t xml:space="preserve">tudents </w:t>
            </w:r>
            <w:r>
              <w:rPr>
                <w:rFonts w:asciiTheme="minorHAnsi" w:hAnsiTheme="minorHAnsi" w:cstheme="minorHAnsi"/>
                <w:sz w:val="22"/>
                <w:szCs w:val="22"/>
              </w:rPr>
              <w:t xml:space="preserve">gave three </w:t>
            </w:r>
            <w:r w:rsidR="00AA00D6" w:rsidRPr="00AA00D6">
              <w:rPr>
                <w:rFonts w:asciiTheme="minorHAnsi" w:hAnsiTheme="minorHAnsi" w:cstheme="minorHAnsi"/>
                <w:sz w:val="22"/>
                <w:szCs w:val="22"/>
              </w:rPr>
              <w:t xml:space="preserve">presentations to first- and second-year students in the OREN-105 “Tusculum Experience” class as part of the BUSN 352 Business Service-Learning Practicum.  </w:t>
            </w:r>
            <w:r>
              <w:rPr>
                <w:rFonts w:asciiTheme="minorHAnsi" w:hAnsiTheme="minorHAnsi" w:cstheme="minorHAnsi"/>
                <w:sz w:val="22"/>
                <w:szCs w:val="22"/>
              </w:rPr>
              <w:t xml:space="preserve">In prior </w:t>
            </w:r>
            <w:proofErr w:type="gramStart"/>
            <w:r>
              <w:rPr>
                <w:rFonts w:asciiTheme="minorHAnsi" w:hAnsiTheme="minorHAnsi" w:cstheme="minorHAnsi"/>
                <w:sz w:val="22"/>
                <w:szCs w:val="22"/>
              </w:rPr>
              <w:t>years</w:t>
            </w:r>
            <w:proofErr w:type="gramEnd"/>
            <w:r>
              <w:rPr>
                <w:rFonts w:asciiTheme="minorHAnsi" w:hAnsiTheme="minorHAnsi" w:cstheme="minorHAnsi"/>
                <w:sz w:val="22"/>
                <w:szCs w:val="22"/>
              </w:rPr>
              <w:t xml:space="preserve"> students were only required to complete one or two presentations.  </w:t>
            </w:r>
            <w:r w:rsidR="00AA00D6" w:rsidRPr="00AA00D6">
              <w:rPr>
                <w:rFonts w:asciiTheme="minorHAnsi" w:hAnsiTheme="minorHAnsi" w:cstheme="minorHAnsi"/>
                <w:sz w:val="22"/>
                <w:szCs w:val="22"/>
              </w:rPr>
              <w:tab/>
            </w:r>
          </w:p>
          <w:p w14:paraId="4AE38383" w14:textId="59E05496" w:rsidR="00AA00D6" w:rsidRPr="00AA00D6" w:rsidRDefault="00D14C48" w:rsidP="00AA00D6">
            <w:pPr>
              <w:pStyle w:val="NormalWeb"/>
              <w:rPr>
                <w:rFonts w:asciiTheme="minorHAnsi" w:hAnsiTheme="minorHAnsi" w:cstheme="minorHAnsi"/>
                <w:sz w:val="22"/>
                <w:szCs w:val="22"/>
              </w:rPr>
            </w:pPr>
            <w:r>
              <w:rPr>
                <w:rFonts w:asciiTheme="minorHAnsi" w:hAnsiTheme="minorHAnsi" w:cstheme="minorHAnsi"/>
                <w:sz w:val="22"/>
                <w:szCs w:val="22"/>
              </w:rPr>
              <w:t>*Some of these presentations had to be adjusted into synchronous and asynchronous recorded presentations due to COVID-19.</w:t>
            </w:r>
            <w:r w:rsidR="00AA00D6" w:rsidRPr="00AA00D6">
              <w:rPr>
                <w:rFonts w:asciiTheme="minorHAnsi" w:hAnsiTheme="minorHAnsi" w:cstheme="minorHAnsi"/>
                <w:sz w:val="22"/>
                <w:szCs w:val="22"/>
              </w:rPr>
              <w:tab/>
            </w:r>
            <w:r w:rsidR="00AA00D6" w:rsidRPr="00AA00D6">
              <w:rPr>
                <w:rFonts w:asciiTheme="minorHAnsi" w:hAnsiTheme="minorHAnsi" w:cstheme="minorHAnsi"/>
                <w:sz w:val="22"/>
                <w:szCs w:val="22"/>
              </w:rPr>
              <w:tab/>
            </w:r>
            <w:r w:rsidR="00AA00D6" w:rsidRPr="00AA00D6">
              <w:rPr>
                <w:rFonts w:asciiTheme="minorHAnsi" w:hAnsiTheme="minorHAnsi" w:cstheme="minorHAnsi"/>
                <w:sz w:val="22"/>
                <w:szCs w:val="22"/>
              </w:rPr>
              <w:tab/>
            </w:r>
          </w:p>
          <w:p w14:paraId="2824D3D1" w14:textId="1539202E" w:rsidR="00D24D37" w:rsidRPr="00C931AE" w:rsidRDefault="00AA00D6" w:rsidP="00AA00D6">
            <w:pPr>
              <w:pStyle w:val="NormalWeb"/>
              <w:rPr>
                <w:rFonts w:asciiTheme="minorHAnsi" w:hAnsiTheme="minorHAnsi" w:cstheme="minorHAnsi"/>
                <w:sz w:val="22"/>
                <w:szCs w:val="22"/>
              </w:rPr>
            </w:pPr>
            <w:r w:rsidRPr="00AA00D6">
              <w:rPr>
                <w:rFonts w:asciiTheme="minorHAnsi" w:hAnsiTheme="minorHAnsi" w:cstheme="minorHAnsi"/>
                <w:sz w:val="22"/>
                <w:szCs w:val="22"/>
              </w:rPr>
              <w:lastRenderedPageBreak/>
              <w:tab/>
            </w:r>
            <w:r w:rsidRPr="00AA00D6">
              <w:rPr>
                <w:rFonts w:asciiTheme="minorHAnsi" w:hAnsiTheme="minorHAnsi" w:cstheme="minorHAnsi"/>
                <w:sz w:val="22"/>
                <w:szCs w:val="22"/>
              </w:rPr>
              <w:tab/>
            </w:r>
            <w:r w:rsidRPr="00AA00D6">
              <w:rPr>
                <w:rFonts w:asciiTheme="minorHAnsi" w:hAnsiTheme="minorHAnsi" w:cstheme="minorHAnsi"/>
                <w:sz w:val="22"/>
                <w:szCs w:val="22"/>
              </w:rPr>
              <w:tab/>
            </w:r>
            <w:r w:rsidRPr="00AA00D6">
              <w:rPr>
                <w:rFonts w:asciiTheme="minorHAnsi" w:hAnsiTheme="minorHAnsi" w:cstheme="minorHAnsi"/>
                <w:sz w:val="22"/>
                <w:szCs w:val="22"/>
              </w:rPr>
              <w:tab/>
            </w:r>
          </w:p>
        </w:tc>
        <w:tc>
          <w:tcPr>
            <w:tcW w:w="6156" w:type="dxa"/>
            <w:shd w:val="clear" w:color="auto" w:fill="FFFFFF" w:themeFill="background1"/>
          </w:tcPr>
          <w:p w14:paraId="59FD9113" w14:textId="6BDFF0AC" w:rsidR="00AA00D6" w:rsidRDefault="00AA00D6" w:rsidP="00AA00D6">
            <w:pPr>
              <w:rPr>
                <w:rFonts w:ascii="Calibri" w:hAnsi="Calibri" w:cs="Calibri"/>
                <w:color w:val="000000"/>
              </w:rPr>
            </w:pPr>
            <w:r>
              <w:rPr>
                <w:rFonts w:ascii="Calibri" w:hAnsi="Calibri" w:cs="Calibri"/>
                <w:color w:val="000000"/>
              </w:rPr>
              <w:lastRenderedPageBreak/>
              <w:t xml:space="preserve">Students were assessed using a presentation rubric. The rubric is a 12-point Likert scale with 12 being the high score. </w:t>
            </w:r>
            <w:r w:rsidR="00804457">
              <w:rPr>
                <w:rFonts w:ascii="Calibri" w:hAnsi="Calibri" w:cs="Calibri"/>
                <w:color w:val="000000"/>
              </w:rPr>
              <w:t xml:space="preserve">Note: Due to COVID-19 changes the OL section </w:t>
            </w:r>
            <w:r w:rsidR="008330DD">
              <w:rPr>
                <w:rFonts w:ascii="Calibri" w:hAnsi="Calibri" w:cs="Calibri"/>
                <w:color w:val="000000"/>
              </w:rPr>
              <w:t xml:space="preserve">in the late term </w:t>
            </w:r>
            <w:r w:rsidR="00804457">
              <w:rPr>
                <w:rFonts w:ascii="Calibri" w:hAnsi="Calibri" w:cs="Calibri"/>
                <w:color w:val="000000"/>
              </w:rPr>
              <w:t>completed an alternative assignment.</w:t>
            </w:r>
          </w:p>
          <w:p w14:paraId="75524D98" w14:textId="47BFEFE8" w:rsidR="00D14C48" w:rsidRDefault="00D14C48" w:rsidP="00AA00D6">
            <w:pPr>
              <w:rPr>
                <w:rFonts w:ascii="Calibri" w:hAnsi="Calibri" w:cs="Calibri"/>
                <w:color w:val="000000"/>
              </w:rPr>
            </w:pPr>
          </w:p>
          <w:p w14:paraId="27DEAFC6" w14:textId="3BD3C96D" w:rsidR="00D24D37" w:rsidRPr="00731106" w:rsidRDefault="00BA35E9" w:rsidP="00804457">
            <w:r>
              <w:rPr>
                <w:noProof/>
              </w:rPr>
              <w:drawing>
                <wp:inline distT="0" distB="0" distL="0" distR="0" wp14:anchorId="46E3418D" wp14:editId="175687BB">
                  <wp:extent cx="3771900" cy="24923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71900" cy="2492375"/>
                          </a:xfrm>
                          <a:prstGeom prst="rect">
                            <a:avLst/>
                          </a:prstGeom>
                        </pic:spPr>
                      </pic:pic>
                    </a:graphicData>
                  </a:graphic>
                </wp:inline>
              </w:drawing>
            </w:r>
          </w:p>
        </w:tc>
        <w:tc>
          <w:tcPr>
            <w:tcW w:w="2623" w:type="dxa"/>
            <w:shd w:val="clear" w:color="auto" w:fill="FFFFFF" w:themeFill="background1"/>
          </w:tcPr>
          <w:p w14:paraId="250A1746" w14:textId="77777777" w:rsidR="00D24D37" w:rsidRPr="00731106" w:rsidRDefault="00D24D37" w:rsidP="00DF3154"/>
        </w:tc>
      </w:tr>
      <w:tr w:rsidR="00D24D37" w14:paraId="70D2C479" w14:textId="77777777" w:rsidTr="00D24D37">
        <w:trPr>
          <w:trHeight w:val="720"/>
        </w:trPr>
        <w:tc>
          <w:tcPr>
            <w:tcW w:w="1378" w:type="dxa"/>
          </w:tcPr>
          <w:p w14:paraId="7C186452" w14:textId="77777777" w:rsidR="00D24D37" w:rsidRPr="00DF3154" w:rsidRDefault="00D24D37" w:rsidP="00DF3154">
            <w:pPr>
              <w:rPr>
                <w:b/>
              </w:rPr>
            </w:pPr>
          </w:p>
        </w:tc>
        <w:tc>
          <w:tcPr>
            <w:tcW w:w="2489" w:type="dxa"/>
            <w:shd w:val="clear" w:color="auto" w:fill="FFFFFF" w:themeFill="background1"/>
          </w:tcPr>
          <w:p w14:paraId="4ECDA5B5" w14:textId="2C801C51" w:rsidR="00D24D37" w:rsidRDefault="00E13599" w:rsidP="00DF3154">
            <w:r w:rsidRPr="00E13599">
              <w:rPr>
                <w:b/>
              </w:rPr>
              <w:t>Objective 2:</w:t>
            </w:r>
            <w:r w:rsidRPr="00E13599">
              <w:t xml:space="preserve"> Students will apply accounting and tax knowledge to assist additional community members in filing an accepted federal income tax return. (VITA</w:t>
            </w:r>
            <w:r w:rsidR="00AA00D6">
              <w:t>)</w:t>
            </w:r>
          </w:p>
        </w:tc>
        <w:tc>
          <w:tcPr>
            <w:tcW w:w="2474" w:type="dxa"/>
            <w:shd w:val="clear" w:color="auto" w:fill="FFFFFF" w:themeFill="background1"/>
          </w:tcPr>
          <w:p w14:paraId="425AFDC6" w14:textId="0C8D0F63" w:rsidR="00D24D37" w:rsidRPr="00C931AE" w:rsidRDefault="00AA00D6" w:rsidP="00BA35E9">
            <w:pPr>
              <w:pStyle w:val="NormalWeb"/>
              <w:rPr>
                <w:rFonts w:asciiTheme="minorHAnsi" w:hAnsiTheme="minorHAnsi" w:cstheme="minorHAnsi"/>
                <w:sz w:val="22"/>
                <w:szCs w:val="22"/>
              </w:rPr>
            </w:pPr>
            <w:r>
              <w:rPr>
                <w:rFonts w:asciiTheme="minorHAnsi" w:hAnsiTheme="minorHAnsi" w:cstheme="minorHAnsi"/>
                <w:sz w:val="22"/>
                <w:szCs w:val="22"/>
              </w:rPr>
              <w:t>Due to COVID-19 restrictions the Volunteer Income Tax Assistance class ha</w:t>
            </w:r>
            <w:r w:rsidR="00BA35E9">
              <w:rPr>
                <w:rFonts w:asciiTheme="minorHAnsi" w:hAnsiTheme="minorHAnsi" w:cstheme="minorHAnsi"/>
                <w:sz w:val="22"/>
                <w:szCs w:val="22"/>
              </w:rPr>
              <w:t>d</w:t>
            </w:r>
            <w:r>
              <w:rPr>
                <w:rFonts w:asciiTheme="minorHAnsi" w:hAnsiTheme="minorHAnsi" w:cstheme="minorHAnsi"/>
                <w:sz w:val="22"/>
                <w:szCs w:val="22"/>
              </w:rPr>
              <w:t xml:space="preserve"> set a goal of 450 tax returns.  They have pared back the class to just 2 sites where in the past it had 4+ and have changed their process to limit exposure for both students and community members.  </w:t>
            </w:r>
            <w:r w:rsidR="00BA35E9">
              <w:rPr>
                <w:rFonts w:asciiTheme="minorHAnsi" w:hAnsiTheme="minorHAnsi" w:cstheme="minorHAnsi"/>
                <w:sz w:val="22"/>
                <w:szCs w:val="22"/>
              </w:rPr>
              <w:t>They exceeded their goal by 45 returns!</w:t>
            </w:r>
          </w:p>
        </w:tc>
        <w:tc>
          <w:tcPr>
            <w:tcW w:w="6156" w:type="dxa"/>
            <w:shd w:val="clear" w:color="auto" w:fill="FFFFFF" w:themeFill="background1"/>
          </w:tcPr>
          <w:p w14:paraId="37C679C9" w14:textId="2B6320C0" w:rsidR="00D24D37" w:rsidRPr="00731106" w:rsidRDefault="00BA35E9" w:rsidP="00DF3154">
            <w:r>
              <w:rPr>
                <w:noProof/>
              </w:rPr>
              <w:drawing>
                <wp:inline distT="0" distB="0" distL="0" distR="0" wp14:anchorId="14EC37A6" wp14:editId="451FA33C">
                  <wp:extent cx="3771900" cy="23990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71900" cy="2399030"/>
                          </a:xfrm>
                          <a:prstGeom prst="rect">
                            <a:avLst/>
                          </a:prstGeom>
                        </pic:spPr>
                      </pic:pic>
                    </a:graphicData>
                  </a:graphic>
                </wp:inline>
              </w:drawing>
            </w:r>
          </w:p>
        </w:tc>
        <w:tc>
          <w:tcPr>
            <w:tcW w:w="2623" w:type="dxa"/>
            <w:shd w:val="clear" w:color="auto" w:fill="FFFFFF" w:themeFill="background1"/>
          </w:tcPr>
          <w:p w14:paraId="543ADA3A" w14:textId="77777777" w:rsidR="00D24D37" w:rsidRPr="00731106" w:rsidRDefault="00D24D37" w:rsidP="00DF3154"/>
        </w:tc>
      </w:tr>
      <w:tr w:rsidR="00D24D37" w14:paraId="4D60F335" w14:textId="77777777" w:rsidTr="00E13599">
        <w:trPr>
          <w:trHeight w:val="720"/>
        </w:trPr>
        <w:tc>
          <w:tcPr>
            <w:tcW w:w="1378" w:type="dxa"/>
          </w:tcPr>
          <w:p w14:paraId="559FC241" w14:textId="77777777" w:rsidR="00D24D37" w:rsidRDefault="00D213F8" w:rsidP="00DF3154">
            <w:pPr>
              <w:rPr>
                <w:b/>
              </w:rPr>
            </w:pPr>
            <w:r>
              <w:rPr>
                <w:b/>
              </w:rPr>
              <w:t xml:space="preserve">Outcome 4: </w:t>
            </w:r>
          </w:p>
          <w:p w14:paraId="7E66F321" w14:textId="3C2E3CD2" w:rsidR="00D213F8" w:rsidRPr="00D213F8" w:rsidRDefault="00D213F8" w:rsidP="00DF3154">
            <w:r w:rsidRPr="00D213F8">
              <w:t>Students will demonstrate the ability to productively participate in group interactions and work effectively with others.</w:t>
            </w:r>
            <w:r>
              <w:t xml:space="preserve"> </w:t>
            </w:r>
            <w:r w:rsidRPr="00D213F8">
              <w:t>(449, 305)</w:t>
            </w:r>
          </w:p>
        </w:tc>
        <w:tc>
          <w:tcPr>
            <w:tcW w:w="2489" w:type="dxa"/>
            <w:shd w:val="clear" w:color="auto" w:fill="4472C4" w:themeFill="accent1"/>
          </w:tcPr>
          <w:p w14:paraId="4E8A4507" w14:textId="77777777" w:rsidR="00D24D37" w:rsidRDefault="00D24D37" w:rsidP="00DF3154"/>
        </w:tc>
        <w:tc>
          <w:tcPr>
            <w:tcW w:w="2474" w:type="dxa"/>
            <w:shd w:val="clear" w:color="auto" w:fill="4472C4" w:themeFill="accent1"/>
          </w:tcPr>
          <w:p w14:paraId="29870A1E" w14:textId="77777777" w:rsidR="00D24D37" w:rsidRPr="00C931AE" w:rsidRDefault="00D24D37" w:rsidP="00DF3154">
            <w:pPr>
              <w:pStyle w:val="NormalWeb"/>
              <w:rPr>
                <w:rFonts w:asciiTheme="minorHAnsi" w:hAnsiTheme="minorHAnsi" w:cstheme="minorHAnsi"/>
                <w:sz w:val="22"/>
                <w:szCs w:val="22"/>
              </w:rPr>
            </w:pPr>
          </w:p>
        </w:tc>
        <w:tc>
          <w:tcPr>
            <w:tcW w:w="6156" w:type="dxa"/>
            <w:shd w:val="clear" w:color="auto" w:fill="4472C4" w:themeFill="accent1"/>
          </w:tcPr>
          <w:p w14:paraId="3C9BDBF1" w14:textId="77777777" w:rsidR="00D24D37" w:rsidRPr="00731106" w:rsidRDefault="00D24D37" w:rsidP="00DF3154"/>
        </w:tc>
        <w:tc>
          <w:tcPr>
            <w:tcW w:w="2623" w:type="dxa"/>
            <w:shd w:val="clear" w:color="auto" w:fill="4472C4" w:themeFill="accent1"/>
          </w:tcPr>
          <w:p w14:paraId="42518B7C" w14:textId="77777777" w:rsidR="00D24D37" w:rsidRPr="00731106" w:rsidRDefault="00D24D37" w:rsidP="00DF3154"/>
        </w:tc>
      </w:tr>
      <w:tr w:rsidR="00D24D37" w14:paraId="3B89ADAE" w14:textId="77777777" w:rsidTr="00D24D37">
        <w:trPr>
          <w:trHeight w:val="720"/>
        </w:trPr>
        <w:tc>
          <w:tcPr>
            <w:tcW w:w="1378" w:type="dxa"/>
          </w:tcPr>
          <w:p w14:paraId="0DF20562" w14:textId="77777777" w:rsidR="00D24D37" w:rsidRPr="00DF3154" w:rsidRDefault="00D24D37" w:rsidP="00DF3154">
            <w:pPr>
              <w:rPr>
                <w:b/>
              </w:rPr>
            </w:pPr>
          </w:p>
        </w:tc>
        <w:tc>
          <w:tcPr>
            <w:tcW w:w="2489" w:type="dxa"/>
            <w:shd w:val="clear" w:color="auto" w:fill="FFFFFF" w:themeFill="background1"/>
          </w:tcPr>
          <w:p w14:paraId="18C528D7" w14:textId="3CF6A5E9" w:rsidR="00D24D37" w:rsidRPr="00D14C48" w:rsidRDefault="00E13599" w:rsidP="00DF3154">
            <w:r w:rsidRPr="00D14C48">
              <w:t>Objective 1: Students will work together to complete a business strategy simulation (BUSN 449)</w:t>
            </w:r>
          </w:p>
        </w:tc>
        <w:tc>
          <w:tcPr>
            <w:tcW w:w="2474" w:type="dxa"/>
            <w:shd w:val="clear" w:color="auto" w:fill="FFFFFF" w:themeFill="background1"/>
          </w:tcPr>
          <w:p w14:paraId="1DA00A3B" w14:textId="77777777" w:rsidR="00D14C48" w:rsidRDefault="00D14C48" w:rsidP="00D14C48">
            <w:pPr>
              <w:rPr>
                <w:rFonts w:ascii="Calibri" w:hAnsi="Calibri" w:cs="Calibri"/>
                <w:color w:val="000000"/>
              </w:rPr>
            </w:pPr>
            <w:r>
              <w:rPr>
                <w:rFonts w:ascii="Calibri" w:hAnsi="Calibri" w:cs="Calibri"/>
                <w:color w:val="000000"/>
              </w:rPr>
              <w:t>Students compete in a strategy simulation as a team, and rank their teamwork via a multiple choice survey The survey asks a series of 12 questions, worth varying point values, for a total score of 100%. Students are expected to score at least 80%.</w:t>
            </w:r>
          </w:p>
          <w:p w14:paraId="6FB3C7E6" w14:textId="77777777" w:rsidR="00D24D37" w:rsidRDefault="00D24D37" w:rsidP="00DF3154">
            <w:pPr>
              <w:pStyle w:val="NormalWeb"/>
              <w:rPr>
                <w:rFonts w:asciiTheme="minorHAnsi" w:hAnsiTheme="minorHAnsi" w:cstheme="minorHAnsi"/>
                <w:sz w:val="22"/>
                <w:szCs w:val="22"/>
              </w:rPr>
            </w:pPr>
          </w:p>
          <w:p w14:paraId="51C2C8F9" w14:textId="77777777" w:rsidR="00D14C48" w:rsidRDefault="00D14C48" w:rsidP="00DF3154">
            <w:pPr>
              <w:pStyle w:val="NormalWeb"/>
              <w:rPr>
                <w:rFonts w:asciiTheme="minorHAnsi" w:hAnsiTheme="minorHAnsi" w:cstheme="minorHAnsi"/>
                <w:sz w:val="22"/>
                <w:szCs w:val="22"/>
              </w:rPr>
            </w:pPr>
            <w:r>
              <w:rPr>
                <w:rFonts w:asciiTheme="minorHAnsi" w:hAnsiTheme="minorHAnsi" w:cstheme="minorHAnsi"/>
                <w:sz w:val="22"/>
                <w:szCs w:val="22"/>
              </w:rPr>
              <w:t>For Fall 2020 students undertook this activity twice, at the beginning of the simulation and towards the end of the simulation.  The intent was to make students aware of the two ranking events and correct any miss-aligned behavior.  For Fall 2020 the two rankings were averaged for each student.</w:t>
            </w:r>
          </w:p>
          <w:p w14:paraId="1573B39E" w14:textId="77777777" w:rsidR="009550BA" w:rsidRDefault="009550BA" w:rsidP="00DF3154">
            <w:pPr>
              <w:pStyle w:val="NormalWeb"/>
              <w:rPr>
                <w:rFonts w:asciiTheme="minorHAnsi" w:hAnsiTheme="minorHAnsi" w:cstheme="minorHAnsi"/>
                <w:sz w:val="22"/>
                <w:szCs w:val="22"/>
              </w:rPr>
            </w:pPr>
          </w:p>
          <w:p w14:paraId="745DB540" w14:textId="756E0EFF" w:rsidR="009550BA" w:rsidRPr="009550BA" w:rsidRDefault="009550BA" w:rsidP="009550BA">
            <w:pPr>
              <w:pStyle w:val="NormalWeb"/>
              <w:rPr>
                <w:rFonts w:asciiTheme="minorHAnsi" w:hAnsiTheme="minorHAnsi" w:cstheme="minorHAnsi"/>
                <w:color w:val="000000"/>
                <w:sz w:val="22"/>
                <w:szCs w:val="22"/>
              </w:rPr>
            </w:pPr>
            <w:r w:rsidRPr="009550BA">
              <w:rPr>
                <w:rFonts w:asciiTheme="minorHAnsi" w:hAnsiTheme="minorHAnsi" w:cstheme="minorHAnsi"/>
                <w:sz w:val="22"/>
                <w:szCs w:val="22"/>
              </w:rPr>
              <w:t>Additionally, the instructor worked to have additional</w:t>
            </w:r>
            <w:r>
              <w:rPr>
                <w:rFonts w:asciiTheme="minorHAnsi" w:hAnsiTheme="minorHAnsi" w:cstheme="minorHAnsi"/>
                <w:sz w:val="22"/>
                <w:szCs w:val="22"/>
              </w:rPr>
              <w:t xml:space="preserve"> dialogue</w:t>
            </w:r>
            <w:r w:rsidRPr="009550BA">
              <w:rPr>
                <w:rFonts w:asciiTheme="minorHAnsi" w:hAnsiTheme="minorHAnsi" w:cstheme="minorHAnsi"/>
                <w:color w:val="000000"/>
                <w:sz w:val="22"/>
                <w:szCs w:val="22"/>
              </w:rPr>
              <w:t xml:space="preserve"> with students to convey the value of their contribution and how each element affects </w:t>
            </w:r>
            <w:r w:rsidRPr="009550BA">
              <w:rPr>
                <w:rFonts w:asciiTheme="minorHAnsi" w:hAnsiTheme="minorHAnsi" w:cstheme="minorHAnsi"/>
                <w:color w:val="000000"/>
                <w:sz w:val="22"/>
                <w:szCs w:val="22"/>
              </w:rPr>
              <w:lastRenderedPageBreak/>
              <w:t>overall team performance.</w:t>
            </w:r>
          </w:p>
          <w:p w14:paraId="5EBC8856" w14:textId="05E0D701" w:rsidR="009550BA" w:rsidRPr="00C931AE" w:rsidRDefault="009550BA" w:rsidP="00DF3154">
            <w:pPr>
              <w:pStyle w:val="NormalWeb"/>
              <w:rPr>
                <w:rFonts w:asciiTheme="minorHAnsi" w:hAnsiTheme="minorHAnsi" w:cstheme="minorHAnsi"/>
                <w:sz w:val="22"/>
                <w:szCs w:val="22"/>
              </w:rPr>
            </w:pPr>
          </w:p>
        </w:tc>
        <w:tc>
          <w:tcPr>
            <w:tcW w:w="6156" w:type="dxa"/>
            <w:shd w:val="clear" w:color="auto" w:fill="FFFFFF" w:themeFill="background1"/>
          </w:tcPr>
          <w:p w14:paraId="01C728FB" w14:textId="16BE50D6" w:rsidR="00A71915" w:rsidRDefault="00A71915" w:rsidP="00DF3154">
            <w:r>
              <w:rPr>
                <w:noProof/>
              </w:rPr>
              <w:lastRenderedPageBreak/>
              <w:drawing>
                <wp:inline distT="0" distB="0" distL="0" distR="0" wp14:anchorId="5A3A9DF5" wp14:editId="15CAB352">
                  <wp:extent cx="3771900" cy="2295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1900" cy="2295525"/>
                          </a:xfrm>
                          <a:prstGeom prst="rect">
                            <a:avLst/>
                          </a:prstGeom>
                        </pic:spPr>
                      </pic:pic>
                    </a:graphicData>
                  </a:graphic>
                </wp:inline>
              </w:drawing>
            </w:r>
          </w:p>
          <w:p w14:paraId="1E2FD4B2" w14:textId="0AB5156A" w:rsidR="00A71915" w:rsidRDefault="00A71915" w:rsidP="00A71915"/>
          <w:p w14:paraId="60034A3D" w14:textId="127B0832" w:rsidR="00D24D37" w:rsidRPr="00A71915" w:rsidRDefault="00A71915" w:rsidP="00A71915">
            <w:r>
              <w:t>In Fall of 2020 both the OL and in-person class had greater than 80% of the class scoring over 80% on the teamwork rubric.  In Spring of 2021, one of the 7-week OL classes fell below the goal with only 71.43% of the class scoring greater than 80%</w:t>
            </w:r>
          </w:p>
        </w:tc>
        <w:tc>
          <w:tcPr>
            <w:tcW w:w="2623" w:type="dxa"/>
            <w:shd w:val="clear" w:color="auto" w:fill="FFFFFF" w:themeFill="background1"/>
          </w:tcPr>
          <w:p w14:paraId="507BE193" w14:textId="77777777" w:rsidR="00D24D37" w:rsidRPr="00731106" w:rsidRDefault="00D24D37" w:rsidP="00DF3154"/>
        </w:tc>
      </w:tr>
      <w:tr w:rsidR="00E13599" w14:paraId="34870BAF" w14:textId="77777777" w:rsidTr="00D24D37">
        <w:trPr>
          <w:trHeight w:val="720"/>
        </w:trPr>
        <w:tc>
          <w:tcPr>
            <w:tcW w:w="1378" w:type="dxa"/>
          </w:tcPr>
          <w:p w14:paraId="51AA7919" w14:textId="77777777" w:rsidR="00E13599" w:rsidRPr="00DF3154" w:rsidRDefault="00E13599" w:rsidP="00DF3154">
            <w:pPr>
              <w:rPr>
                <w:b/>
              </w:rPr>
            </w:pPr>
          </w:p>
        </w:tc>
        <w:tc>
          <w:tcPr>
            <w:tcW w:w="2489" w:type="dxa"/>
            <w:shd w:val="clear" w:color="auto" w:fill="FFFFFF" w:themeFill="background1"/>
          </w:tcPr>
          <w:p w14:paraId="3F44402C" w14:textId="77777777" w:rsidR="00E13599" w:rsidRDefault="00D14C48" w:rsidP="00DF3154">
            <w:r w:rsidRPr="00D14C48">
              <w:rPr>
                <w:b/>
              </w:rPr>
              <w:t>Objective 2:</w:t>
            </w:r>
            <w:r w:rsidRPr="00D14C48">
              <w:t xml:space="preserve"> Students will complete surveys ranking teammates participation in the Marketing Plan Project (BUSN 305)</w:t>
            </w:r>
          </w:p>
          <w:p w14:paraId="60A8306F" w14:textId="77777777" w:rsidR="00D14C48" w:rsidRDefault="00D14C48" w:rsidP="00DF3154"/>
          <w:p w14:paraId="3F0D366C" w14:textId="1091E63E" w:rsidR="00D14C48" w:rsidRDefault="00D14C48" w:rsidP="00D14C48">
            <w:pPr>
              <w:rPr>
                <w:rFonts w:ascii="Calibri" w:hAnsi="Calibri" w:cs="Calibri"/>
                <w:color w:val="000000"/>
              </w:rPr>
            </w:pPr>
            <w:r>
              <w:rPr>
                <w:rFonts w:ascii="Calibri" w:hAnsi="Calibri" w:cs="Calibri"/>
                <w:color w:val="000000"/>
              </w:rPr>
              <w:t>Students prepare and present a marketing plan as a group. Then the students are asked to complete a survey ranking their teammates participation. The survey is adapted from the AACU Value Rubric.</w:t>
            </w:r>
          </w:p>
          <w:p w14:paraId="483A9238" w14:textId="66482132" w:rsidR="008330DD" w:rsidRDefault="008330DD" w:rsidP="00D14C48">
            <w:pPr>
              <w:rPr>
                <w:rFonts w:ascii="Calibri" w:hAnsi="Calibri" w:cs="Calibri"/>
                <w:color w:val="000000"/>
              </w:rPr>
            </w:pPr>
          </w:p>
          <w:p w14:paraId="782E79C1" w14:textId="509CEFAF" w:rsidR="008330DD" w:rsidRDefault="008330DD" w:rsidP="00D14C48">
            <w:pPr>
              <w:rPr>
                <w:rFonts w:ascii="Calibri" w:hAnsi="Calibri" w:cs="Calibri"/>
                <w:color w:val="000000"/>
              </w:rPr>
            </w:pPr>
            <w:r>
              <w:rPr>
                <w:rFonts w:ascii="Calibri" w:hAnsi="Calibri" w:cs="Calibri"/>
                <w:color w:val="000000"/>
              </w:rPr>
              <w:t>Students are expected to score above a 3.5 on all rubric areas.</w:t>
            </w:r>
          </w:p>
          <w:p w14:paraId="13F486E1" w14:textId="21CA1584" w:rsidR="00D14C48" w:rsidRPr="00D14C48" w:rsidRDefault="00D14C48" w:rsidP="00DF3154"/>
        </w:tc>
        <w:tc>
          <w:tcPr>
            <w:tcW w:w="2474" w:type="dxa"/>
            <w:shd w:val="clear" w:color="auto" w:fill="FFFFFF" w:themeFill="background1"/>
          </w:tcPr>
          <w:p w14:paraId="61DF1DF5" w14:textId="77777777" w:rsidR="008330DD" w:rsidRPr="008330DD" w:rsidRDefault="008330DD" w:rsidP="008330DD">
            <w:pPr>
              <w:rPr>
                <w:rFonts w:cstheme="minorHAnsi"/>
                <w:color w:val="000000"/>
              </w:rPr>
            </w:pPr>
            <w:r w:rsidRPr="008330DD">
              <w:rPr>
                <w:rFonts w:cstheme="minorHAnsi"/>
                <w:color w:val="000000"/>
              </w:rPr>
              <w:t>Instructor started having conferences with each team to mediate any team conflict before the evaluation period.</w:t>
            </w:r>
          </w:p>
          <w:p w14:paraId="26E73491" w14:textId="39808835" w:rsidR="00E13599" w:rsidRPr="008330DD" w:rsidRDefault="00E13599" w:rsidP="00DF3154">
            <w:pPr>
              <w:pStyle w:val="NormalWeb"/>
              <w:rPr>
                <w:rFonts w:asciiTheme="minorHAnsi" w:hAnsiTheme="minorHAnsi" w:cstheme="minorHAnsi"/>
                <w:sz w:val="22"/>
                <w:szCs w:val="22"/>
              </w:rPr>
            </w:pPr>
          </w:p>
        </w:tc>
        <w:tc>
          <w:tcPr>
            <w:tcW w:w="6156" w:type="dxa"/>
            <w:shd w:val="clear" w:color="auto" w:fill="FFFFFF" w:themeFill="background1"/>
          </w:tcPr>
          <w:p w14:paraId="0C87B0FA" w14:textId="370A8A11" w:rsidR="006B0BF1" w:rsidRDefault="002B4961" w:rsidP="008330DD">
            <w:r>
              <w:rPr>
                <w:noProof/>
              </w:rPr>
              <w:drawing>
                <wp:inline distT="0" distB="0" distL="0" distR="0" wp14:anchorId="2A5F9248" wp14:editId="2F7BA169">
                  <wp:extent cx="3771900" cy="19164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900" cy="1916430"/>
                          </a:xfrm>
                          <a:prstGeom prst="rect">
                            <a:avLst/>
                          </a:prstGeom>
                        </pic:spPr>
                      </pic:pic>
                    </a:graphicData>
                  </a:graphic>
                </wp:inline>
              </w:drawing>
            </w:r>
          </w:p>
          <w:p w14:paraId="698ABCA2" w14:textId="77777777" w:rsidR="002B4961" w:rsidRDefault="002B4961" w:rsidP="008330DD"/>
          <w:p w14:paraId="70E011AB" w14:textId="0E53E96F" w:rsidR="006B0BF1" w:rsidRDefault="006B0BF1" w:rsidP="008330DD">
            <w:r>
              <w:t>Students met the 3.5 goal on all 5 of the rubric categories in Fall of 2020</w:t>
            </w:r>
            <w:r w:rsidR="002B4961">
              <w:t xml:space="preserve"> and in the spring of 2021</w:t>
            </w:r>
            <w:r>
              <w:t>.  The lowest score noted is a 3.</w:t>
            </w:r>
            <w:r w:rsidR="002B4961">
              <w:t>52</w:t>
            </w:r>
            <w:r>
              <w:t xml:space="preserve"> </w:t>
            </w:r>
            <w:r w:rsidR="002B4961">
              <w:t>in the ‘Contributes to Team Meetings’</w:t>
            </w:r>
            <w:r>
              <w:t xml:space="preserve"> category.  Further planning activities may be able to have a positive impact upon this rubric category.</w:t>
            </w:r>
          </w:p>
          <w:p w14:paraId="71AD32EC" w14:textId="77777777" w:rsidR="006B0BF1" w:rsidRDefault="006B0BF1" w:rsidP="008330DD"/>
          <w:p w14:paraId="0ED85574" w14:textId="7C76B93C" w:rsidR="00BD4D69" w:rsidRPr="005828DA" w:rsidRDefault="008330DD" w:rsidP="008330DD">
            <w:pPr>
              <w:rPr>
                <w:highlight w:val="yellow"/>
              </w:rPr>
            </w:pPr>
            <w:r w:rsidRPr="008330DD">
              <w:t xml:space="preserve">*Note: Due to COVID-19 Fall 2020 </w:t>
            </w:r>
            <w:r w:rsidR="00BD4D69" w:rsidRPr="008330DD">
              <w:t xml:space="preserve">BUSN-305-E500A </w:t>
            </w:r>
            <w:r w:rsidRPr="008330DD">
              <w:t>&amp; BUSN-305-L500 completed an alternative assignment and are not represented in this dataset.</w:t>
            </w:r>
            <w:bookmarkStart w:id="1" w:name="_GoBack"/>
            <w:bookmarkEnd w:id="1"/>
          </w:p>
        </w:tc>
        <w:tc>
          <w:tcPr>
            <w:tcW w:w="2623" w:type="dxa"/>
            <w:shd w:val="clear" w:color="auto" w:fill="FFFFFF" w:themeFill="background1"/>
          </w:tcPr>
          <w:p w14:paraId="1C52EE27" w14:textId="44ADC476" w:rsidR="008330DD" w:rsidRPr="00731106" w:rsidRDefault="008330DD" w:rsidP="008330DD">
            <w:r w:rsidRPr="008330DD">
              <w:rPr>
                <w:b/>
              </w:rPr>
              <w:t>Recommendations:</w:t>
            </w:r>
            <w:r>
              <w:t xml:space="preserve"> Continue to monitor results of this assessment.  Two things to consider as this assessment spans longitudinally over another academic year: 1.)  Consider increasing the expectation threshold if students continue to exceed it for another academic year. 2.)  Consider</w:t>
            </w:r>
            <w:r w:rsidR="006B0BF1">
              <w:t xml:space="preserve"> a Pre &amp; Post ranking of teammates to see if further dialogue has an impact.</w:t>
            </w:r>
          </w:p>
        </w:tc>
      </w:tr>
    </w:tbl>
    <w:p w14:paraId="20A08105" w14:textId="77777777" w:rsidR="004F5302" w:rsidRPr="004F5302" w:rsidRDefault="004F5302" w:rsidP="005C2BC8">
      <w:pPr>
        <w:spacing w:after="0"/>
      </w:pPr>
    </w:p>
    <w:sectPr w:rsidR="004F5302" w:rsidRPr="004F5302" w:rsidSect="00CB341B">
      <w:footerReference w:type="defaul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077C" w14:textId="77777777" w:rsidR="00CC57D4" w:rsidRDefault="00CC57D4" w:rsidP="00555748">
      <w:pPr>
        <w:spacing w:after="0" w:line="240" w:lineRule="auto"/>
      </w:pPr>
      <w:r>
        <w:separator/>
      </w:r>
    </w:p>
  </w:endnote>
  <w:endnote w:type="continuationSeparator" w:id="0">
    <w:p w14:paraId="5720CFD9" w14:textId="77777777" w:rsidR="00CC57D4" w:rsidRDefault="00CC57D4" w:rsidP="0055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1016"/>
      <w:docPartObj>
        <w:docPartGallery w:val="Page Numbers (Bottom of Page)"/>
        <w:docPartUnique/>
      </w:docPartObj>
    </w:sdtPr>
    <w:sdtEndPr>
      <w:rPr>
        <w:rFonts w:ascii="Times New Roman" w:hAnsi="Times New Roman" w:cs="Times New Roman"/>
        <w:noProof/>
      </w:rPr>
    </w:sdtEndPr>
    <w:sdtContent>
      <w:p w14:paraId="12ED03C2" w14:textId="13CD0409" w:rsidR="00555748" w:rsidRPr="005E5C80" w:rsidRDefault="001305E8" w:rsidP="005E5C80">
        <w:pPr>
          <w:pStyle w:val="Footer"/>
          <w:jc w:val="center"/>
          <w:rPr>
            <w:noProof/>
            <w:sz w:val="16"/>
            <w:szCs w:val="16"/>
          </w:rPr>
        </w:pPr>
        <w:r w:rsidRPr="002E1F43">
          <w:rPr>
            <w:noProof/>
            <w:sz w:val="16"/>
            <w:szCs w:val="16"/>
          </w:rPr>
          <w:fldChar w:fldCharType="begin"/>
        </w:r>
        <w:r w:rsidRPr="002E1F43">
          <w:rPr>
            <w:noProof/>
            <w:sz w:val="16"/>
            <w:szCs w:val="16"/>
          </w:rPr>
          <w:instrText xml:space="preserve"> FILENAME   \* MERGEFORMAT </w:instrText>
        </w:r>
        <w:r w:rsidRPr="002E1F43">
          <w:rPr>
            <w:noProof/>
            <w:sz w:val="16"/>
            <w:szCs w:val="16"/>
          </w:rPr>
          <w:fldChar w:fldCharType="separate"/>
        </w:r>
        <w:r w:rsidR="005E5C80">
          <w:rPr>
            <w:noProof/>
            <w:sz w:val="16"/>
            <w:szCs w:val="16"/>
          </w:rPr>
          <w:t>2020-21</w:t>
        </w:r>
        <w:r w:rsidR="002E1F43" w:rsidRPr="002E1F43">
          <w:rPr>
            <w:noProof/>
            <w:sz w:val="16"/>
            <w:szCs w:val="16"/>
          </w:rPr>
          <w:t xml:space="preserve"> Educational Programs Institutional Effectiveness Plan and Report</w:t>
        </w:r>
        <w:r w:rsidRPr="002E1F43">
          <w:rPr>
            <w:noProof/>
            <w:sz w:val="16"/>
            <w:szCs w:val="16"/>
          </w:rPr>
          <w:fldChar w:fldCharType="end"/>
        </w:r>
        <w:r w:rsidR="00143AA8">
          <w:tab/>
        </w:r>
        <w:r w:rsidR="00143AA8">
          <w:tab/>
        </w:r>
        <w:r w:rsidR="00143AA8">
          <w:tab/>
        </w:r>
        <w:r w:rsidR="00143AA8">
          <w:tab/>
        </w:r>
        <w:r w:rsidR="00555748" w:rsidRPr="002E1F43">
          <w:rPr>
            <w:rFonts w:cstheme="minorHAnsi"/>
            <w:sz w:val="16"/>
            <w:szCs w:val="16"/>
          </w:rPr>
          <w:fldChar w:fldCharType="begin"/>
        </w:r>
        <w:r w:rsidR="00555748" w:rsidRPr="002E1F43">
          <w:rPr>
            <w:rFonts w:cstheme="minorHAnsi"/>
            <w:sz w:val="16"/>
            <w:szCs w:val="16"/>
          </w:rPr>
          <w:instrText xml:space="preserve"> PAGE   \* MERGEFORMAT </w:instrText>
        </w:r>
        <w:r w:rsidR="00555748" w:rsidRPr="002E1F43">
          <w:rPr>
            <w:rFonts w:cstheme="minorHAnsi"/>
            <w:sz w:val="16"/>
            <w:szCs w:val="16"/>
          </w:rPr>
          <w:fldChar w:fldCharType="separate"/>
        </w:r>
        <w:r w:rsidR="002B4961">
          <w:rPr>
            <w:rFonts w:cstheme="minorHAnsi"/>
            <w:noProof/>
            <w:sz w:val="16"/>
            <w:szCs w:val="16"/>
          </w:rPr>
          <w:t>7</w:t>
        </w:r>
        <w:r w:rsidR="00555748" w:rsidRPr="002E1F43">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8845" w14:textId="77777777" w:rsidR="00CC57D4" w:rsidRDefault="00CC57D4" w:rsidP="00555748">
      <w:pPr>
        <w:spacing w:after="0" w:line="240" w:lineRule="auto"/>
      </w:pPr>
      <w:r>
        <w:separator/>
      </w:r>
    </w:p>
  </w:footnote>
  <w:footnote w:type="continuationSeparator" w:id="0">
    <w:p w14:paraId="332502C7" w14:textId="77777777" w:rsidR="00CC57D4" w:rsidRDefault="00CC57D4" w:rsidP="00555748">
      <w:pPr>
        <w:spacing w:after="0" w:line="240" w:lineRule="auto"/>
      </w:pPr>
      <w:r>
        <w:continuationSeparator/>
      </w:r>
    </w:p>
  </w:footnote>
  <w:footnote w:id="1">
    <w:p w14:paraId="0B10F39B" w14:textId="77777777" w:rsidR="00DF3154" w:rsidRDefault="00DF3154" w:rsidP="00DF3154">
      <w:pPr>
        <w:pStyle w:val="FootnoteText"/>
      </w:pPr>
      <w:r>
        <w:rPr>
          <w:rStyle w:val="FootnoteReference"/>
        </w:rPr>
        <w:footnoteRef/>
      </w:r>
      <w:r>
        <w:t xml:space="preserve"> The Common Professional Components (CPC) of business include 12 topics essential to business education: </w:t>
      </w:r>
      <w:r w:rsidRPr="00720C8C">
        <w:t>Accounting, Ethics, Finance, Business Integration and Strategic Management, Leadership, Economics, International Business, Management Information Systems, Business Law, Management, Marketing, and Quantitative Research/ Statistics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D5B"/>
    <w:multiLevelType w:val="hybridMultilevel"/>
    <w:tmpl w:val="5F3E3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A3398"/>
    <w:multiLevelType w:val="hybridMultilevel"/>
    <w:tmpl w:val="D1AA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E00"/>
    <w:multiLevelType w:val="hybridMultilevel"/>
    <w:tmpl w:val="6E1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B2C"/>
    <w:multiLevelType w:val="hybridMultilevel"/>
    <w:tmpl w:val="21C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E3431"/>
    <w:multiLevelType w:val="hybridMultilevel"/>
    <w:tmpl w:val="A3EA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A5FF9"/>
    <w:multiLevelType w:val="hybridMultilevel"/>
    <w:tmpl w:val="456A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05EAD"/>
    <w:multiLevelType w:val="hybridMultilevel"/>
    <w:tmpl w:val="895E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03284"/>
    <w:multiLevelType w:val="hybridMultilevel"/>
    <w:tmpl w:val="B4DE1C86"/>
    <w:lvl w:ilvl="0" w:tplc="BCE06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29ED"/>
    <w:multiLevelType w:val="hybridMultilevel"/>
    <w:tmpl w:val="5FEA1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1C61DD"/>
    <w:multiLevelType w:val="hybridMultilevel"/>
    <w:tmpl w:val="7A6A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F0E20"/>
    <w:multiLevelType w:val="hybridMultilevel"/>
    <w:tmpl w:val="A4EE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65BDE"/>
    <w:multiLevelType w:val="hybridMultilevel"/>
    <w:tmpl w:val="F1FAC4AC"/>
    <w:lvl w:ilvl="0" w:tplc="286E55D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7E182844"/>
    <w:multiLevelType w:val="hybridMultilevel"/>
    <w:tmpl w:val="DC6CB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0"/>
  </w:num>
  <w:num w:numId="6">
    <w:abstractNumId w:val="4"/>
  </w:num>
  <w:num w:numId="7">
    <w:abstractNumId w:val="2"/>
  </w:num>
  <w:num w:numId="8">
    <w:abstractNumId w:val="3"/>
  </w:num>
  <w:num w:numId="9">
    <w:abstractNumId w:val="10"/>
  </w:num>
  <w:num w:numId="10">
    <w:abstractNumId w:val="11"/>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8"/>
    <w:rsid w:val="00003A49"/>
    <w:rsid w:val="000174BA"/>
    <w:rsid w:val="0005308F"/>
    <w:rsid w:val="00061A02"/>
    <w:rsid w:val="000770EF"/>
    <w:rsid w:val="00091B31"/>
    <w:rsid w:val="00092544"/>
    <w:rsid w:val="000A7D98"/>
    <w:rsid w:val="001305E8"/>
    <w:rsid w:val="00143AA8"/>
    <w:rsid w:val="001D145A"/>
    <w:rsid w:val="00241D54"/>
    <w:rsid w:val="00255334"/>
    <w:rsid w:val="002737AD"/>
    <w:rsid w:val="002B4961"/>
    <w:rsid w:val="002E0A89"/>
    <w:rsid w:val="002E1F43"/>
    <w:rsid w:val="00315CFB"/>
    <w:rsid w:val="003212D5"/>
    <w:rsid w:val="0034086A"/>
    <w:rsid w:val="00393B6C"/>
    <w:rsid w:val="00396684"/>
    <w:rsid w:val="004934DD"/>
    <w:rsid w:val="00494C87"/>
    <w:rsid w:val="004A428A"/>
    <w:rsid w:val="004D01B1"/>
    <w:rsid w:val="004F5302"/>
    <w:rsid w:val="0050716C"/>
    <w:rsid w:val="00555748"/>
    <w:rsid w:val="0057538C"/>
    <w:rsid w:val="00576E49"/>
    <w:rsid w:val="005828DA"/>
    <w:rsid w:val="005C2BC8"/>
    <w:rsid w:val="005D5CF4"/>
    <w:rsid w:val="005E5C80"/>
    <w:rsid w:val="0060108A"/>
    <w:rsid w:val="006357FD"/>
    <w:rsid w:val="006863AD"/>
    <w:rsid w:val="0069320A"/>
    <w:rsid w:val="006B0BF1"/>
    <w:rsid w:val="006B14CB"/>
    <w:rsid w:val="007273FC"/>
    <w:rsid w:val="007A7067"/>
    <w:rsid w:val="007F626E"/>
    <w:rsid w:val="00804457"/>
    <w:rsid w:val="008330DD"/>
    <w:rsid w:val="008C61F8"/>
    <w:rsid w:val="008D2DF6"/>
    <w:rsid w:val="008D4557"/>
    <w:rsid w:val="009550BA"/>
    <w:rsid w:val="00985B49"/>
    <w:rsid w:val="00987362"/>
    <w:rsid w:val="009D5909"/>
    <w:rsid w:val="009F3813"/>
    <w:rsid w:val="009F5041"/>
    <w:rsid w:val="009F6572"/>
    <w:rsid w:val="00A00D72"/>
    <w:rsid w:val="00A71915"/>
    <w:rsid w:val="00A91B87"/>
    <w:rsid w:val="00AA00D6"/>
    <w:rsid w:val="00AC0C19"/>
    <w:rsid w:val="00AF603F"/>
    <w:rsid w:val="00B04EB6"/>
    <w:rsid w:val="00B761FF"/>
    <w:rsid w:val="00BA0ECB"/>
    <w:rsid w:val="00BA35E9"/>
    <w:rsid w:val="00BD1081"/>
    <w:rsid w:val="00BD4D69"/>
    <w:rsid w:val="00BF4F43"/>
    <w:rsid w:val="00BF5357"/>
    <w:rsid w:val="00C472E1"/>
    <w:rsid w:val="00C86C87"/>
    <w:rsid w:val="00C931AE"/>
    <w:rsid w:val="00CB341B"/>
    <w:rsid w:val="00CC57D4"/>
    <w:rsid w:val="00D14C48"/>
    <w:rsid w:val="00D213F8"/>
    <w:rsid w:val="00D24D37"/>
    <w:rsid w:val="00D878E5"/>
    <w:rsid w:val="00DF3154"/>
    <w:rsid w:val="00E13599"/>
    <w:rsid w:val="00E43FB0"/>
    <w:rsid w:val="00EA0D9B"/>
    <w:rsid w:val="00FA68B7"/>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293C"/>
  <w15:chartTrackingRefBased/>
  <w15:docId w15:val="{20882A0B-F94F-4F5A-A9FE-030FCF1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C8"/>
    <w:pPr>
      <w:ind w:left="720"/>
      <w:contextualSpacing/>
    </w:pPr>
  </w:style>
  <w:style w:type="paragraph" w:styleId="BalloonText">
    <w:name w:val="Balloon Text"/>
    <w:basedOn w:val="Normal"/>
    <w:link w:val="BalloonTextChar"/>
    <w:uiPriority w:val="99"/>
    <w:semiHidden/>
    <w:unhideWhenUsed/>
    <w:rsid w:val="0049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DD"/>
    <w:rPr>
      <w:rFonts w:ascii="Segoe UI" w:hAnsi="Segoe UI" w:cs="Segoe UI"/>
      <w:sz w:val="18"/>
      <w:szCs w:val="18"/>
    </w:rPr>
  </w:style>
  <w:style w:type="paragraph" w:styleId="Header">
    <w:name w:val="header"/>
    <w:basedOn w:val="Normal"/>
    <w:link w:val="HeaderChar"/>
    <w:uiPriority w:val="99"/>
    <w:unhideWhenUsed/>
    <w:rsid w:val="0055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48"/>
  </w:style>
  <w:style w:type="paragraph" w:styleId="Footer">
    <w:name w:val="footer"/>
    <w:basedOn w:val="Normal"/>
    <w:link w:val="FooterChar"/>
    <w:uiPriority w:val="99"/>
    <w:unhideWhenUsed/>
    <w:rsid w:val="0055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48"/>
  </w:style>
  <w:style w:type="paragraph" w:styleId="NormalWeb">
    <w:name w:val="Normal (Web)"/>
    <w:basedOn w:val="Normal"/>
    <w:uiPriority w:val="99"/>
    <w:unhideWhenUsed/>
    <w:rsid w:val="00DF3154"/>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F3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154"/>
    <w:rPr>
      <w:sz w:val="20"/>
      <w:szCs w:val="20"/>
    </w:rPr>
  </w:style>
  <w:style w:type="character" w:styleId="FootnoteReference">
    <w:name w:val="footnote reference"/>
    <w:basedOn w:val="DefaultParagraphFont"/>
    <w:uiPriority w:val="99"/>
    <w:semiHidden/>
    <w:unhideWhenUsed/>
    <w:rsid w:val="00DF3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402">
      <w:bodyDiv w:val="1"/>
      <w:marLeft w:val="0"/>
      <w:marRight w:val="0"/>
      <w:marTop w:val="0"/>
      <w:marBottom w:val="0"/>
      <w:divBdr>
        <w:top w:val="none" w:sz="0" w:space="0" w:color="auto"/>
        <w:left w:val="none" w:sz="0" w:space="0" w:color="auto"/>
        <w:bottom w:val="none" w:sz="0" w:space="0" w:color="auto"/>
        <w:right w:val="none" w:sz="0" w:space="0" w:color="auto"/>
      </w:divBdr>
    </w:div>
    <w:div w:id="224151018">
      <w:bodyDiv w:val="1"/>
      <w:marLeft w:val="0"/>
      <w:marRight w:val="0"/>
      <w:marTop w:val="0"/>
      <w:marBottom w:val="0"/>
      <w:divBdr>
        <w:top w:val="none" w:sz="0" w:space="0" w:color="auto"/>
        <w:left w:val="none" w:sz="0" w:space="0" w:color="auto"/>
        <w:bottom w:val="none" w:sz="0" w:space="0" w:color="auto"/>
        <w:right w:val="none" w:sz="0" w:space="0" w:color="auto"/>
      </w:divBdr>
    </w:div>
    <w:div w:id="327370297">
      <w:bodyDiv w:val="1"/>
      <w:marLeft w:val="0"/>
      <w:marRight w:val="0"/>
      <w:marTop w:val="0"/>
      <w:marBottom w:val="0"/>
      <w:divBdr>
        <w:top w:val="none" w:sz="0" w:space="0" w:color="auto"/>
        <w:left w:val="none" w:sz="0" w:space="0" w:color="auto"/>
        <w:bottom w:val="none" w:sz="0" w:space="0" w:color="auto"/>
        <w:right w:val="none" w:sz="0" w:space="0" w:color="auto"/>
      </w:divBdr>
    </w:div>
    <w:div w:id="557479563">
      <w:bodyDiv w:val="1"/>
      <w:marLeft w:val="0"/>
      <w:marRight w:val="0"/>
      <w:marTop w:val="0"/>
      <w:marBottom w:val="0"/>
      <w:divBdr>
        <w:top w:val="none" w:sz="0" w:space="0" w:color="auto"/>
        <w:left w:val="none" w:sz="0" w:space="0" w:color="auto"/>
        <w:bottom w:val="none" w:sz="0" w:space="0" w:color="auto"/>
        <w:right w:val="none" w:sz="0" w:space="0" w:color="auto"/>
      </w:divBdr>
    </w:div>
    <w:div w:id="633557778">
      <w:bodyDiv w:val="1"/>
      <w:marLeft w:val="0"/>
      <w:marRight w:val="0"/>
      <w:marTop w:val="0"/>
      <w:marBottom w:val="0"/>
      <w:divBdr>
        <w:top w:val="none" w:sz="0" w:space="0" w:color="auto"/>
        <w:left w:val="none" w:sz="0" w:space="0" w:color="auto"/>
        <w:bottom w:val="none" w:sz="0" w:space="0" w:color="auto"/>
        <w:right w:val="none" w:sz="0" w:space="0" w:color="auto"/>
      </w:divBdr>
    </w:div>
    <w:div w:id="656694566">
      <w:bodyDiv w:val="1"/>
      <w:marLeft w:val="0"/>
      <w:marRight w:val="0"/>
      <w:marTop w:val="0"/>
      <w:marBottom w:val="0"/>
      <w:divBdr>
        <w:top w:val="none" w:sz="0" w:space="0" w:color="auto"/>
        <w:left w:val="none" w:sz="0" w:space="0" w:color="auto"/>
        <w:bottom w:val="none" w:sz="0" w:space="0" w:color="auto"/>
        <w:right w:val="none" w:sz="0" w:space="0" w:color="auto"/>
      </w:divBdr>
    </w:div>
    <w:div w:id="916940411">
      <w:bodyDiv w:val="1"/>
      <w:marLeft w:val="0"/>
      <w:marRight w:val="0"/>
      <w:marTop w:val="0"/>
      <w:marBottom w:val="0"/>
      <w:divBdr>
        <w:top w:val="none" w:sz="0" w:space="0" w:color="auto"/>
        <w:left w:val="none" w:sz="0" w:space="0" w:color="auto"/>
        <w:bottom w:val="none" w:sz="0" w:space="0" w:color="auto"/>
        <w:right w:val="none" w:sz="0" w:space="0" w:color="auto"/>
      </w:divBdr>
    </w:div>
    <w:div w:id="1026903498">
      <w:bodyDiv w:val="1"/>
      <w:marLeft w:val="0"/>
      <w:marRight w:val="0"/>
      <w:marTop w:val="0"/>
      <w:marBottom w:val="0"/>
      <w:divBdr>
        <w:top w:val="none" w:sz="0" w:space="0" w:color="auto"/>
        <w:left w:val="none" w:sz="0" w:space="0" w:color="auto"/>
        <w:bottom w:val="none" w:sz="0" w:space="0" w:color="auto"/>
        <w:right w:val="none" w:sz="0" w:space="0" w:color="auto"/>
      </w:divBdr>
    </w:div>
    <w:div w:id="15595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jmmcguire@comcast.net</dc:creator>
  <cp:keywords/>
  <dc:description/>
  <cp:lastModifiedBy>Jacob Fait</cp:lastModifiedBy>
  <cp:revision>6</cp:revision>
  <cp:lastPrinted>2019-05-16T13:07:00Z</cp:lastPrinted>
  <dcterms:created xsi:type="dcterms:W3CDTF">2021-06-03T20:36:00Z</dcterms:created>
  <dcterms:modified xsi:type="dcterms:W3CDTF">2021-06-04T21:44:00Z</dcterms:modified>
</cp:coreProperties>
</file>